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65C2" w14:textId="56C5CC58" w:rsidR="00FF1EFD" w:rsidRPr="00385677" w:rsidRDefault="00D42F33" w:rsidP="003804EF">
      <w:pPr>
        <w:jc w:val="center"/>
        <w:rPr>
          <w:b/>
          <w:bCs/>
          <w:color w:val="3B3B98"/>
          <w:sz w:val="28"/>
          <w:szCs w:val="28"/>
        </w:rPr>
      </w:pPr>
      <w:r w:rsidRPr="00385677">
        <w:rPr>
          <w:b/>
          <w:bCs/>
          <w:color w:val="3B3B98"/>
          <w:sz w:val="28"/>
          <w:szCs w:val="28"/>
        </w:rPr>
        <w:t>TERMO DE ANÁLISE E ATESTADO DE CREDENCIAMENTO DO ADMINISTRADOR OU GESTOR DE FUNDOS DE INVESTIMENTO</w:t>
      </w:r>
    </w:p>
    <w:tbl>
      <w:tblPr>
        <w:tblStyle w:val="Tabelacomgrade"/>
        <w:tblW w:w="0" w:type="auto"/>
        <w:tblLook w:val="04A0" w:firstRow="1" w:lastRow="0" w:firstColumn="1" w:lastColumn="0" w:noHBand="0" w:noVBand="1"/>
      </w:tblPr>
      <w:tblGrid>
        <w:gridCol w:w="5807"/>
        <w:gridCol w:w="2687"/>
      </w:tblGrid>
      <w:tr w:rsidR="006A19E0" w14:paraId="03DB28FC" w14:textId="77777777" w:rsidTr="00385677">
        <w:tc>
          <w:tcPr>
            <w:tcW w:w="5807" w:type="dxa"/>
            <w:shd w:val="clear" w:color="auto" w:fill="3B3B98"/>
          </w:tcPr>
          <w:p w14:paraId="7C1DB0DE" w14:textId="36E2A52A" w:rsidR="006A19E0" w:rsidRPr="00385677" w:rsidRDefault="006A19E0" w:rsidP="00D42F33">
            <w:pPr>
              <w:rPr>
                <w:b/>
                <w:bCs/>
                <w:color w:val="FFFFFF" w:themeColor="background1"/>
              </w:rPr>
            </w:pPr>
            <w:r w:rsidRPr="00385677">
              <w:rPr>
                <w:b/>
                <w:bCs/>
                <w:color w:val="FFFFFF" w:themeColor="background1"/>
              </w:rPr>
              <w:t>Número do Termo de Análise de Credenciamento</w:t>
            </w:r>
          </w:p>
        </w:tc>
        <w:tc>
          <w:tcPr>
            <w:tcW w:w="2687" w:type="dxa"/>
          </w:tcPr>
          <w:p w14:paraId="1A171DB3" w14:textId="69A93592" w:rsidR="006A19E0" w:rsidRPr="00385677" w:rsidRDefault="00B87FA4" w:rsidP="00D42F33">
            <w:pPr>
              <w:rPr>
                <w:b/>
                <w:bCs/>
                <w:color w:val="404040" w:themeColor="text1" w:themeTint="BF"/>
              </w:rPr>
            </w:pPr>
            <w:r>
              <w:rPr>
                <w:b/>
                <w:bCs/>
                <w:color w:val="404040" w:themeColor="text1" w:themeTint="BF"/>
              </w:rPr>
              <w:t>08/2025</w:t>
            </w:r>
          </w:p>
        </w:tc>
      </w:tr>
      <w:tr w:rsidR="006A19E0" w14:paraId="423ED60F" w14:textId="77777777" w:rsidTr="00385677">
        <w:tc>
          <w:tcPr>
            <w:tcW w:w="5807" w:type="dxa"/>
            <w:shd w:val="clear" w:color="auto" w:fill="3B3B98"/>
          </w:tcPr>
          <w:p w14:paraId="09BFED91" w14:textId="059F2489" w:rsidR="006A19E0" w:rsidRPr="00385677" w:rsidRDefault="006A19E0" w:rsidP="00D42F33">
            <w:pPr>
              <w:rPr>
                <w:b/>
                <w:bCs/>
                <w:color w:val="FFFFFF" w:themeColor="background1"/>
              </w:rPr>
            </w:pPr>
            <w:r w:rsidRPr="00385677">
              <w:rPr>
                <w:b/>
                <w:bCs/>
                <w:color w:val="FFFFFF" w:themeColor="background1"/>
              </w:rPr>
              <w:t>Número do Processo</w:t>
            </w:r>
          </w:p>
        </w:tc>
        <w:tc>
          <w:tcPr>
            <w:tcW w:w="2687" w:type="dxa"/>
          </w:tcPr>
          <w:p w14:paraId="230998FD" w14:textId="76CB9A70" w:rsidR="006A19E0" w:rsidRPr="00385677" w:rsidRDefault="00B87FA4" w:rsidP="00D42F33">
            <w:pPr>
              <w:rPr>
                <w:b/>
                <w:bCs/>
                <w:color w:val="404040" w:themeColor="text1" w:themeTint="BF"/>
              </w:rPr>
            </w:pPr>
            <w:r>
              <w:rPr>
                <w:b/>
                <w:bCs/>
                <w:color w:val="404040" w:themeColor="text1" w:themeTint="BF"/>
              </w:rPr>
              <w:t>08/2025</w:t>
            </w:r>
          </w:p>
        </w:tc>
      </w:tr>
    </w:tbl>
    <w:p w14:paraId="651D9A33" w14:textId="77777777" w:rsidR="00AA0BB3" w:rsidRDefault="00AA0BB3" w:rsidP="00D42F33">
      <w:pPr>
        <w:rPr>
          <w:b/>
          <w:bCs/>
        </w:rPr>
      </w:pPr>
    </w:p>
    <w:p w14:paraId="24F66C5E" w14:textId="7E41896B" w:rsidR="00AA0BB3" w:rsidRPr="00385677" w:rsidRDefault="00AA0BB3" w:rsidP="00D42F33">
      <w:pPr>
        <w:rPr>
          <w:b/>
          <w:bCs/>
          <w:color w:val="3B3B98"/>
          <w:sz w:val="28"/>
          <w:szCs w:val="28"/>
        </w:rPr>
      </w:pPr>
      <w:r w:rsidRPr="00385677">
        <w:rPr>
          <w:b/>
          <w:bCs/>
          <w:color w:val="3B3B98"/>
          <w:sz w:val="28"/>
          <w:szCs w:val="28"/>
        </w:rPr>
        <w:t>I - DO REGIME PRÓPRIO DE PREVIDÊNCIA SOCIAL – RPPS</w:t>
      </w:r>
    </w:p>
    <w:tbl>
      <w:tblPr>
        <w:tblStyle w:val="Tabelacomgrade"/>
        <w:tblW w:w="0" w:type="auto"/>
        <w:tblLook w:val="04A0" w:firstRow="1" w:lastRow="0" w:firstColumn="1" w:lastColumn="0" w:noHBand="0" w:noVBand="1"/>
      </w:tblPr>
      <w:tblGrid>
        <w:gridCol w:w="5382"/>
        <w:gridCol w:w="3112"/>
      </w:tblGrid>
      <w:tr w:rsidR="00385677" w:rsidRPr="00385677" w14:paraId="6C1C494B" w14:textId="77777777" w:rsidTr="00ED5712">
        <w:tc>
          <w:tcPr>
            <w:tcW w:w="5382" w:type="dxa"/>
          </w:tcPr>
          <w:p w14:paraId="27DADC30" w14:textId="6461E27C" w:rsidR="00AA0BB3" w:rsidRPr="00385677" w:rsidRDefault="00ED5712" w:rsidP="00D42F33">
            <w:pPr>
              <w:rPr>
                <w:b/>
                <w:bCs/>
                <w:color w:val="3B3B98"/>
              </w:rPr>
            </w:pPr>
            <w:r w:rsidRPr="00385677">
              <w:rPr>
                <w:b/>
                <w:bCs/>
                <w:color w:val="3B3B98"/>
              </w:rPr>
              <w:t>Ente Federativo</w:t>
            </w:r>
            <w:r w:rsidR="003804EF" w:rsidRPr="00385677">
              <w:rPr>
                <w:b/>
                <w:bCs/>
                <w:color w:val="3B3B98"/>
              </w:rPr>
              <w:t>:</w:t>
            </w:r>
            <w:r w:rsidR="00B87FA4">
              <w:rPr>
                <w:b/>
                <w:bCs/>
                <w:color w:val="3B3B98"/>
              </w:rPr>
              <w:t xml:space="preserve"> PREFEITURA MUNICIPAL DE MARACANAÚ</w:t>
            </w:r>
            <w:r w:rsidR="004E3710" w:rsidRPr="00385677">
              <w:rPr>
                <w:b/>
                <w:bCs/>
                <w:color w:val="3B3B98"/>
              </w:rPr>
              <w:t xml:space="preserve"> </w:t>
            </w:r>
          </w:p>
        </w:tc>
        <w:tc>
          <w:tcPr>
            <w:tcW w:w="3112" w:type="dxa"/>
          </w:tcPr>
          <w:p w14:paraId="123DE8E5" w14:textId="61BEB24A" w:rsidR="00ED5712" w:rsidRPr="00385677" w:rsidRDefault="00ED5712" w:rsidP="00D42F33">
            <w:pPr>
              <w:rPr>
                <w:b/>
                <w:bCs/>
                <w:color w:val="404040" w:themeColor="text1" w:themeTint="BF"/>
              </w:rPr>
            </w:pPr>
            <w:r w:rsidRPr="00385677">
              <w:rPr>
                <w:b/>
                <w:bCs/>
                <w:color w:val="3B3B98"/>
              </w:rPr>
              <w:t>CNPJ:</w:t>
            </w:r>
            <w:r w:rsidR="00B87FA4">
              <w:rPr>
                <w:b/>
                <w:bCs/>
                <w:color w:val="3B3B98"/>
              </w:rPr>
              <w:t xml:space="preserve"> 07.605.850/0001-62</w:t>
            </w:r>
            <w:r w:rsidR="00385677">
              <w:rPr>
                <w:b/>
                <w:bCs/>
                <w:color w:val="3B3B98"/>
              </w:rPr>
              <w:t xml:space="preserve"> </w:t>
            </w:r>
          </w:p>
        </w:tc>
      </w:tr>
      <w:tr w:rsidR="00AA0BB3" w:rsidRPr="00385677" w14:paraId="2F2A19B0" w14:textId="77777777" w:rsidTr="00ED5712">
        <w:tc>
          <w:tcPr>
            <w:tcW w:w="5382" w:type="dxa"/>
          </w:tcPr>
          <w:p w14:paraId="1434B39E" w14:textId="7ADD04BF" w:rsidR="00AA0BB3" w:rsidRPr="00385677" w:rsidRDefault="00ED5712" w:rsidP="00D42F33">
            <w:pPr>
              <w:rPr>
                <w:b/>
                <w:bCs/>
                <w:color w:val="404040" w:themeColor="text1" w:themeTint="BF"/>
              </w:rPr>
            </w:pPr>
            <w:r w:rsidRPr="00385677">
              <w:rPr>
                <w:b/>
                <w:bCs/>
                <w:color w:val="3B3B98"/>
              </w:rPr>
              <w:t>Unidade Gestora do RPPS</w:t>
            </w:r>
            <w:r w:rsidR="003804EF" w:rsidRPr="00385677">
              <w:rPr>
                <w:b/>
                <w:bCs/>
                <w:color w:val="3B3B98"/>
              </w:rPr>
              <w:t>:</w:t>
            </w:r>
            <w:r w:rsidR="00B87FA4">
              <w:rPr>
                <w:b/>
                <w:bCs/>
                <w:color w:val="3B3B98"/>
              </w:rPr>
              <w:t xml:space="preserve"> INSTITUTO DE PREVIDÊNCIA DO MUNICÍPIO DE MARACANAÚ</w:t>
            </w:r>
            <w:r w:rsidR="003804EF" w:rsidRPr="00385677">
              <w:rPr>
                <w:b/>
                <w:bCs/>
                <w:color w:val="3B3B98"/>
              </w:rPr>
              <w:t xml:space="preserve"> </w:t>
            </w:r>
          </w:p>
        </w:tc>
        <w:tc>
          <w:tcPr>
            <w:tcW w:w="3112" w:type="dxa"/>
          </w:tcPr>
          <w:p w14:paraId="44DB6121" w14:textId="31EDFD07" w:rsidR="00AA0BB3" w:rsidRPr="00385677" w:rsidRDefault="00ED5712" w:rsidP="00D42F33">
            <w:pPr>
              <w:rPr>
                <w:b/>
                <w:bCs/>
                <w:color w:val="404040" w:themeColor="text1" w:themeTint="BF"/>
              </w:rPr>
            </w:pPr>
            <w:r w:rsidRPr="00385677">
              <w:rPr>
                <w:b/>
                <w:bCs/>
                <w:color w:val="3B3B98"/>
              </w:rPr>
              <w:t>CNPJ:</w:t>
            </w:r>
            <w:r w:rsidR="00385677">
              <w:rPr>
                <w:b/>
                <w:bCs/>
                <w:color w:val="3B3B98"/>
              </w:rPr>
              <w:t xml:space="preserve"> </w:t>
            </w:r>
            <w:r w:rsidR="00B87FA4">
              <w:rPr>
                <w:b/>
                <w:bCs/>
                <w:color w:val="3B3B98"/>
              </w:rPr>
              <w:t>17.943.447/0001-05</w:t>
            </w:r>
          </w:p>
        </w:tc>
      </w:tr>
    </w:tbl>
    <w:p w14:paraId="7F887544" w14:textId="77777777" w:rsidR="00AA0BB3" w:rsidRPr="00385677" w:rsidRDefault="00AA0BB3" w:rsidP="00D42F33">
      <w:pPr>
        <w:rPr>
          <w:b/>
          <w:bCs/>
          <w:color w:val="3B3B98"/>
        </w:rPr>
      </w:pPr>
    </w:p>
    <w:p w14:paraId="5638E559" w14:textId="684AE5EF" w:rsidR="00021AF0" w:rsidRPr="00385677" w:rsidRDefault="00021AF0" w:rsidP="00D42F33">
      <w:pPr>
        <w:rPr>
          <w:b/>
          <w:bCs/>
          <w:color w:val="3B3B98"/>
          <w:sz w:val="28"/>
          <w:szCs w:val="28"/>
        </w:rPr>
      </w:pPr>
      <w:r w:rsidRPr="00385677">
        <w:rPr>
          <w:b/>
          <w:bCs/>
          <w:color w:val="3B3B98"/>
          <w:sz w:val="28"/>
          <w:szCs w:val="28"/>
        </w:rPr>
        <w:t>II - DA INSTITUIÇÃO A SER CREDENCIADA</w:t>
      </w:r>
    </w:p>
    <w:tbl>
      <w:tblPr>
        <w:tblStyle w:val="Tabelacomgrade"/>
        <w:tblW w:w="0" w:type="auto"/>
        <w:tblLook w:val="04A0" w:firstRow="1" w:lastRow="0" w:firstColumn="1" w:lastColumn="0" w:noHBand="0" w:noVBand="1"/>
      </w:tblPr>
      <w:tblGrid>
        <w:gridCol w:w="3539"/>
        <w:gridCol w:w="707"/>
        <w:gridCol w:w="3546"/>
        <w:gridCol w:w="702"/>
      </w:tblGrid>
      <w:tr w:rsidR="00385677" w:rsidRPr="00385677" w14:paraId="43E34B13" w14:textId="77777777" w:rsidTr="00AD0FFB">
        <w:trPr>
          <w:trHeight w:val="397"/>
        </w:trPr>
        <w:tc>
          <w:tcPr>
            <w:tcW w:w="3539" w:type="dxa"/>
            <w:vAlign w:val="center"/>
          </w:tcPr>
          <w:p w14:paraId="719B2060" w14:textId="2EBC2B78" w:rsidR="00566B27" w:rsidRPr="00385677" w:rsidRDefault="00566B27" w:rsidP="004E5418">
            <w:pPr>
              <w:rPr>
                <w:b/>
                <w:bCs/>
                <w:color w:val="3B3B98"/>
              </w:rPr>
            </w:pPr>
            <w:r w:rsidRPr="00385677">
              <w:rPr>
                <w:b/>
                <w:bCs/>
                <w:color w:val="3B3B98"/>
              </w:rPr>
              <w:t>Administrador</w:t>
            </w:r>
          </w:p>
        </w:tc>
        <w:tc>
          <w:tcPr>
            <w:tcW w:w="707" w:type="dxa"/>
            <w:vAlign w:val="center"/>
          </w:tcPr>
          <w:p w14:paraId="6735E7CD" w14:textId="2A923F27" w:rsidR="00566B27" w:rsidRPr="00385677" w:rsidRDefault="00566B27" w:rsidP="004E5418">
            <w:pPr>
              <w:rPr>
                <w:b/>
                <w:bCs/>
                <w:color w:val="3B3B98"/>
              </w:rPr>
            </w:pPr>
          </w:p>
        </w:tc>
        <w:tc>
          <w:tcPr>
            <w:tcW w:w="3546" w:type="dxa"/>
            <w:vAlign w:val="center"/>
          </w:tcPr>
          <w:p w14:paraId="1A0A9717" w14:textId="5D6688D8" w:rsidR="00566B27" w:rsidRPr="00385677" w:rsidRDefault="00566B27" w:rsidP="004E5418">
            <w:pPr>
              <w:rPr>
                <w:b/>
                <w:bCs/>
                <w:color w:val="3B3B98"/>
              </w:rPr>
            </w:pPr>
            <w:r w:rsidRPr="00385677">
              <w:rPr>
                <w:b/>
                <w:bCs/>
                <w:color w:val="3B3B98"/>
              </w:rPr>
              <w:t>Gestor</w:t>
            </w:r>
          </w:p>
        </w:tc>
        <w:tc>
          <w:tcPr>
            <w:tcW w:w="702" w:type="dxa"/>
            <w:vAlign w:val="center"/>
          </w:tcPr>
          <w:p w14:paraId="23530B40" w14:textId="478D96CE" w:rsidR="00566B27" w:rsidRPr="00385677" w:rsidRDefault="00AD0FFB" w:rsidP="00AD0FFB">
            <w:pPr>
              <w:jc w:val="center"/>
              <w:rPr>
                <w:b/>
                <w:bCs/>
                <w:color w:val="404040" w:themeColor="text1" w:themeTint="BF"/>
              </w:rPr>
            </w:pPr>
            <w:r w:rsidRPr="00385677">
              <w:rPr>
                <w:b/>
                <w:bCs/>
                <w:color w:val="404040" w:themeColor="text1" w:themeTint="BF"/>
              </w:rPr>
              <w:t>X</w:t>
            </w:r>
          </w:p>
        </w:tc>
      </w:tr>
    </w:tbl>
    <w:p w14:paraId="50E8E2A1" w14:textId="77777777" w:rsidR="00566B27" w:rsidRPr="00385677" w:rsidRDefault="00566B27" w:rsidP="00D42F33">
      <w:pPr>
        <w:rPr>
          <w:b/>
          <w:bCs/>
          <w:color w:val="3B3B98"/>
        </w:rPr>
      </w:pPr>
    </w:p>
    <w:tbl>
      <w:tblPr>
        <w:tblStyle w:val="Tabelacomgrade"/>
        <w:tblW w:w="0" w:type="auto"/>
        <w:tblLook w:val="04A0" w:firstRow="1" w:lastRow="0" w:firstColumn="1" w:lastColumn="0" w:noHBand="0" w:noVBand="1"/>
      </w:tblPr>
      <w:tblGrid>
        <w:gridCol w:w="2405"/>
        <w:gridCol w:w="6089"/>
      </w:tblGrid>
      <w:tr w:rsidR="00385677" w:rsidRPr="00385677" w14:paraId="586BE64F" w14:textId="77777777" w:rsidTr="00765243">
        <w:tc>
          <w:tcPr>
            <w:tcW w:w="2405" w:type="dxa"/>
          </w:tcPr>
          <w:p w14:paraId="3ACE4267" w14:textId="64C8447D" w:rsidR="001A07C0" w:rsidRPr="00385677" w:rsidRDefault="001A07C0" w:rsidP="00D42F33">
            <w:pPr>
              <w:rPr>
                <w:b/>
                <w:bCs/>
                <w:color w:val="3B3B98"/>
              </w:rPr>
            </w:pPr>
            <w:r w:rsidRPr="00385677">
              <w:rPr>
                <w:b/>
                <w:bCs/>
                <w:color w:val="3B3B98"/>
              </w:rPr>
              <w:t>Razão Social</w:t>
            </w:r>
          </w:p>
        </w:tc>
        <w:tc>
          <w:tcPr>
            <w:tcW w:w="6089" w:type="dxa"/>
          </w:tcPr>
          <w:p w14:paraId="15D646EE" w14:textId="500B6F03" w:rsidR="001A07C0" w:rsidRPr="00385677" w:rsidRDefault="00993D82" w:rsidP="00D42F33">
            <w:pPr>
              <w:rPr>
                <w:color w:val="404040" w:themeColor="text1" w:themeTint="BF"/>
              </w:rPr>
            </w:pPr>
            <w:r w:rsidRPr="00993D82">
              <w:rPr>
                <w:color w:val="404040" w:themeColor="text1" w:themeTint="BF"/>
              </w:rPr>
              <w:t xml:space="preserve">Itaú Unibanco </w:t>
            </w:r>
            <w:proofErr w:type="spellStart"/>
            <w:r w:rsidRPr="00993D82">
              <w:rPr>
                <w:color w:val="404040" w:themeColor="text1" w:themeTint="BF"/>
              </w:rPr>
              <w:t>Asset</w:t>
            </w:r>
            <w:proofErr w:type="spellEnd"/>
            <w:r w:rsidRPr="00993D82">
              <w:rPr>
                <w:color w:val="404040" w:themeColor="text1" w:themeTint="BF"/>
              </w:rPr>
              <w:t xml:space="preserve"> Management LTDA</w:t>
            </w:r>
          </w:p>
        </w:tc>
      </w:tr>
      <w:tr w:rsidR="00385677" w:rsidRPr="00385677" w14:paraId="2759FEAA" w14:textId="77777777" w:rsidTr="00765243">
        <w:tc>
          <w:tcPr>
            <w:tcW w:w="2405" w:type="dxa"/>
          </w:tcPr>
          <w:p w14:paraId="3E6F5A56" w14:textId="65413346" w:rsidR="00945D83" w:rsidRPr="00385677" w:rsidRDefault="00945D83" w:rsidP="00D42F33">
            <w:pPr>
              <w:rPr>
                <w:b/>
                <w:bCs/>
                <w:color w:val="3B3B98"/>
              </w:rPr>
            </w:pPr>
            <w:r w:rsidRPr="00385677">
              <w:rPr>
                <w:b/>
                <w:bCs/>
                <w:color w:val="3B3B98"/>
              </w:rPr>
              <w:t>CNPJ</w:t>
            </w:r>
          </w:p>
        </w:tc>
        <w:tc>
          <w:tcPr>
            <w:tcW w:w="6089" w:type="dxa"/>
          </w:tcPr>
          <w:p w14:paraId="50E975D3" w14:textId="07F0E55F" w:rsidR="001A07C0" w:rsidRPr="00385677" w:rsidRDefault="00993D82" w:rsidP="00D42F33">
            <w:pPr>
              <w:rPr>
                <w:color w:val="404040" w:themeColor="text1" w:themeTint="BF"/>
              </w:rPr>
            </w:pPr>
            <w:r w:rsidRPr="00993D82">
              <w:rPr>
                <w:color w:val="404040" w:themeColor="text1" w:themeTint="BF"/>
              </w:rPr>
              <w:t>40.430.971/0001-96</w:t>
            </w:r>
          </w:p>
        </w:tc>
      </w:tr>
      <w:tr w:rsidR="00385677" w:rsidRPr="00385677" w14:paraId="5445290D" w14:textId="77777777" w:rsidTr="00765243">
        <w:tc>
          <w:tcPr>
            <w:tcW w:w="2405" w:type="dxa"/>
          </w:tcPr>
          <w:p w14:paraId="428B7F86" w14:textId="15B79527" w:rsidR="001A07C0" w:rsidRPr="00385677" w:rsidRDefault="00945D83" w:rsidP="00D42F33">
            <w:pPr>
              <w:rPr>
                <w:b/>
                <w:bCs/>
                <w:color w:val="3B3B98"/>
              </w:rPr>
            </w:pPr>
            <w:r w:rsidRPr="00385677">
              <w:rPr>
                <w:b/>
                <w:bCs/>
                <w:color w:val="3B3B98"/>
              </w:rPr>
              <w:t>Data de Constituição</w:t>
            </w:r>
          </w:p>
        </w:tc>
        <w:tc>
          <w:tcPr>
            <w:tcW w:w="6089" w:type="dxa"/>
          </w:tcPr>
          <w:p w14:paraId="7CA80142" w14:textId="5F655191" w:rsidR="001A07C0" w:rsidRPr="00385677" w:rsidRDefault="00993D82" w:rsidP="00D42F33">
            <w:pPr>
              <w:rPr>
                <w:color w:val="404040" w:themeColor="text1" w:themeTint="BF"/>
              </w:rPr>
            </w:pPr>
            <w:r w:rsidRPr="00993D82">
              <w:rPr>
                <w:color w:val="404040" w:themeColor="text1" w:themeTint="BF"/>
              </w:rPr>
              <w:t>17/01/2021</w:t>
            </w:r>
          </w:p>
        </w:tc>
      </w:tr>
      <w:tr w:rsidR="00385677" w:rsidRPr="00385677" w14:paraId="3FA6FA19" w14:textId="77777777" w:rsidTr="00765243">
        <w:tc>
          <w:tcPr>
            <w:tcW w:w="2405" w:type="dxa"/>
          </w:tcPr>
          <w:p w14:paraId="7C44BD19" w14:textId="5E8C06C9" w:rsidR="001A07C0" w:rsidRPr="00385677" w:rsidRDefault="00765243" w:rsidP="00D42F33">
            <w:pPr>
              <w:rPr>
                <w:b/>
                <w:bCs/>
                <w:color w:val="3B3B98"/>
              </w:rPr>
            </w:pPr>
            <w:r w:rsidRPr="00385677">
              <w:rPr>
                <w:b/>
                <w:bCs/>
                <w:color w:val="3B3B98"/>
              </w:rPr>
              <w:t>Endereço</w:t>
            </w:r>
          </w:p>
        </w:tc>
        <w:tc>
          <w:tcPr>
            <w:tcW w:w="6089" w:type="dxa"/>
          </w:tcPr>
          <w:p w14:paraId="74175F11" w14:textId="5B3FA2C3" w:rsidR="001A07C0" w:rsidRPr="00385677" w:rsidRDefault="00993D82" w:rsidP="00D42F33">
            <w:pPr>
              <w:rPr>
                <w:color w:val="404040" w:themeColor="text1" w:themeTint="BF"/>
              </w:rPr>
            </w:pPr>
            <w:r w:rsidRPr="00993D82">
              <w:rPr>
                <w:color w:val="404040" w:themeColor="text1" w:themeTint="BF"/>
              </w:rPr>
              <w:t>Av. Faria Lima, 3500 – 4º andar, São Paulo – SP</w:t>
            </w:r>
          </w:p>
        </w:tc>
      </w:tr>
      <w:tr w:rsidR="00385677" w:rsidRPr="00385677" w14:paraId="1704C0CD" w14:textId="77777777" w:rsidTr="00765243">
        <w:tc>
          <w:tcPr>
            <w:tcW w:w="2405" w:type="dxa"/>
          </w:tcPr>
          <w:p w14:paraId="03D572B8" w14:textId="1103E767" w:rsidR="001A07C0" w:rsidRPr="00385677" w:rsidRDefault="00765243" w:rsidP="00D42F33">
            <w:pPr>
              <w:rPr>
                <w:b/>
                <w:bCs/>
                <w:color w:val="3B3B98"/>
              </w:rPr>
            </w:pPr>
            <w:r w:rsidRPr="00385677">
              <w:rPr>
                <w:b/>
                <w:bCs/>
                <w:color w:val="3B3B98"/>
              </w:rPr>
              <w:t>E-mail</w:t>
            </w:r>
          </w:p>
        </w:tc>
        <w:tc>
          <w:tcPr>
            <w:tcW w:w="6089" w:type="dxa"/>
          </w:tcPr>
          <w:p w14:paraId="2E9EA3F5" w14:textId="17F36F67" w:rsidR="001A07C0" w:rsidRPr="00385677" w:rsidRDefault="00993D82" w:rsidP="00D42F33">
            <w:pPr>
              <w:rPr>
                <w:color w:val="404040" w:themeColor="text1" w:themeTint="BF"/>
              </w:rPr>
            </w:pPr>
            <w:r w:rsidRPr="00993D82">
              <w:rPr>
                <w:color w:val="404040" w:themeColor="text1" w:themeTint="BF"/>
              </w:rPr>
              <w:t>tiago.patu@itau-unibanco.com.br</w:t>
            </w:r>
          </w:p>
        </w:tc>
      </w:tr>
      <w:tr w:rsidR="001A07C0" w:rsidRPr="00385677" w14:paraId="26686FC3" w14:textId="77777777" w:rsidTr="00765243">
        <w:tc>
          <w:tcPr>
            <w:tcW w:w="2405" w:type="dxa"/>
          </w:tcPr>
          <w:p w14:paraId="2C65474C" w14:textId="6D224073" w:rsidR="001A07C0" w:rsidRPr="00385677" w:rsidRDefault="00765243" w:rsidP="00D42F33">
            <w:pPr>
              <w:rPr>
                <w:b/>
                <w:bCs/>
                <w:color w:val="3B3B98"/>
              </w:rPr>
            </w:pPr>
            <w:r w:rsidRPr="00385677">
              <w:rPr>
                <w:b/>
                <w:bCs/>
                <w:color w:val="3B3B98"/>
              </w:rPr>
              <w:t>Telefone</w:t>
            </w:r>
          </w:p>
        </w:tc>
        <w:tc>
          <w:tcPr>
            <w:tcW w:w="6089" w:type="dxa"/>
          </w:tcPr>
          <w:p w14:paraId="446D0BBF" w14:textId="1D3D1D15" w:rsidR="001A07C0" w:rsidRPr="00385677" w:rsidRDefault="00993D82" w:rsidP="002C5B40">
            <w:pPr>
              <w:tabs>
                <w:tab w:val="left" w:pos="2461"/>
              </w:tabs>
              <w:rPr>
                <w:color w:val="404040" w:themeColor="text1" w:themeTint="BF"/>
              </w:rPr>
            </w:pPr>
            <w:r w:rsidRPr="00993D82">
              <w:rPr>
                <w:color w:val="404040" w:themeColor="text1" w:themeTint="BF"/>
              </w:rPr>
              <w:t>81 98169-6952</w:t>
            </w:r>
          </w:p>
        </w:tc>
      </w:tr>
    </w:tbl>
    <w:p w14:paraId="3F6F4AA7" w14:textId="77777777" w:rsidR="001A07C0" w:rsidRPr="00385677" w:rsidRDefault="001A07C0" w:rsidP="00D42F33">
      <w:pPr>
        <w:rPr>
          <w:b/>
          <w:bCs/>
          <w:color w:val="3B3B98"/>
        </w:rPr>
      </w:pPr>
    </w:p>
    <w:tbl>
      <w:tblPr>
        <w:tblStyle w:val="Tabelacomgrade"/>
        <w:tblW w:w="0" w:type="auto"/>
        <w:tblLook w:val="04A0" w:firstRow="1" w:lastRow="0" w:firstColumn="1" w:lastColumn="0" w:noHBand="0" w:noVBand="1"/>
      </w:tblPr>
      <w:tblGrid>
        <w:gridCol w:w="1936"/>
        <w:gridCol w:w="2686"/>
        <w:gridCol w:w="1844"/>
        <w:gridCol w:w="2028"/>
      </w:tblGrid>
      <w:tr w:rsidR="00385677" w:rsidRPr="00385677" w14:paraId="73195F68" w14:textId="77777777" w:rsidTr="00CE30BE">
        <w:tc>
          <w:tcPr>
            <w:tcW w:w="1980" w:type="dxa"/>
          </w:tcPr>
          <w:p w14:paraId="63FD4AC8" w14:textId="70E3D8B2" w:rsidR="002B4DAC" w:rsidRPr="00385677" w:rsidRDefault="00523C5E" w:rsidP="00D42F33">
            <w:pPr>
              <w:rPr>
                <w:b/>
                <w:bCs/>
                <w:color w:val="3B3B98"/>
              </w:rPr>
            </w:pPr>
            <w:r w:rsidRPr="00385677">
              <w:rPr>
                <w:b/>
                <w:bCs/>
                <w:color w:val="3B3B98"/>
              </w:rPr>
              <w:t>Responsável</w:t>
            </w:r>
          </w:p>
        </w:tc>
        <w:tc>
          <w:tcPr>
            <w:tcW w:w="2835" w:type="dxa"/>
          </w:tcPr>
          <w:p w14:paraId="072AC835" w14:textId="1CF89DBA" w:rsidR="002B4DAC" w:rsidRPr="00385677" w:rsidRDefault="00523C5E" w:rsidP="00D42F33">
            <w:pPr>
              <w:rPr>
                <w:b/>
                <w:bCs/>
                <w:color w:val="3B3B98"/>
              </w:rPr>
            </w:pPr>
            <w:r w:rsidRPr="00385677">
              <w:rPr>
                <w:b/>
                <w:bCs/>
                <w:color w:val="3B3B98"/>
              </w:rPr>
              <w:t>Cargo</w:t>
            </w:r>
          </w:p>
        </w:tc>
        <w:tc>
          <w:tcPr>
            <w:tcW w:w="1555" w:type="dxa"/>
          </w:tcPr>
          <w:p w14:paraId="0F4F3BCD" w14:textId="2A95D274" w:rsidR="002B4DAC" w:rsidRPr="00385677" w:rsidRDefault="00523C5E" w:rsidP="00D42F33">
            <w:pPr>
              <w:rPr>
                <w:b/>
                <w:bCs/>
                <w:color w:val="3B3B98"/>
              </w:rPr>
            </w:pPr>
            <w:r w:rsidRPr="00385677">
              <w:rPr>
                <w:b/>
                <w:bCs/>
                <w:color w:val="3B3B98"/>
              </w:rPr>
              <w:t>E-mail</w:t>
            </w:r>
          </w:p>
        </w:tc>
        <w:tc>
          <w:tcPr>
            <w:tcW w:w="2124" w:type="dxa"/>
          </w:tcPr>
          <w:p w14:paraId="6DB5D0D5" w14:textId="5958ECEA" w:rsidR="002B4DAC" w:rsidRPr="00385677" w:rsidRDefault="00523C5E" w:rsidP="00D42F33">
            <w:pPr>
              <w:rPr>
                <w:b/>
                <w:bCs/>
                <w:color w:val="3B3B98"/>
              </w:rPr>
            </w:pPr>
            <w:r w:rsidRPr="00385677">
              <w:rPr>
                <w:b/>
                <w:bCs/>
                <w:color w:val="3B3B98"/>
              </w:rPr>
              <w:t>Telefone</w:t>
            </w:r>
          </w:p>
        </w:tc>
      </w:tr>
      <w:tr w:rsidR="00385677" w:rsidRPr="00385677" w14:paraId="2AB5ACC6" w14:textId="77777777" w:rsidTr="00CE30BE">
        <w:tc>
          <w:tcPr>
            <w:tcW w:w="1980" w:type="dxa"/>
          </w:tcPr>
          <w:p w14:paraId="2F6E0581" w14:textId="5C3449E9" w:rsidR="002B4DAC" w:rsidRPr="00385677" w:rsidRDefault="00CE30BE" w:rsidP="00D42F33">
            <w:pPr>
              <w:rPr>
                <w:color w:val="404040" w:themeColor="text1" w:themeTint="BF"/>
              </w:rPr>
            </w:pPr>
            <w:r w:rsidRPr="00CE30BE">
              <w:rPr>
                <w:color w:val="404040" w:themeColor="text1" w:themeTint="BF"/>
              </w:rPr>
              <w:t xml:space="preserve">Tiago Bezerra </w:t>
            </w:r>
            <w:proofErr w:type="spellStart"/>
            <w:r w:rsidRPr="00CE30BE">
              <w:rPr>
                <w:color w:val="404040" w:themeColor="text1" w:themeTint="BF"/>
              </w:rPr>
              <w:t>Patú</w:t>
            </w:r>
            <w:proofErr w:type="spellEnd"/>
          </w:p>
        </w:tc>
        <w:tc>
          <w:tcPr>
            <w:tcW w:w="2835" w:type="dxa"/>
          </w:tcPr>
          <w:p w14:paraId="2AD5EEEC" w14:textId="1A762482" w:rsidR="002B4DAC" w:rsidRPr="00993D82" w:rsidRDefault="00CE30BE" w:rsidP="00D42F33">
            <w:pPr>
              <w:rPr>
                <w:color w:val="404040" w:themeColor="text1" w:themeTint="BF"/>
              </w:rPr>
            </w:pPr>
            <w:r w:rsidRPr="00993D82">
              <w:rPr>
                <w:color w:val="404040" w:themeColor="text1" w:themeTint="BF"/>
              </w:rPr>
              <w:t>Gerente Comercial Poder Público</w:t>
            </w:r>
          </w:p>
        </w:tc>
        <w:tc>
          <w:tcPr>
            <w:tcW w:w="1555" w:type="dxa"/>
          </w:tcPr>
          <w:p w14:paraId="6C3B8B07" w14:textId="7F48FE6C" w:rsidR="002B4DAC" w:rsidRPr="00993D82" w:rsidRDefault="00CE30BE" w:rsidP="00D42F33">
            <w:pPr>
              <w:rPr>
                <w:color w:val="404040" w:themeColor="text1" w:themeTint="BF"/>
              </w:rPr>
            </w:pPr>
            <w:r w:rsidRPr="00993D82">
              <w:rPr>
                <w:color w:val="404040" w:themeColor="text1" w:themeTint="BF"/>
              </w:rPr>
              <w:t>tiago.patu@itau-unibanco.com.br</w:t>
            </w:r>
          </w:p>
        </w:tc>
        <w:tc>
          <w:tcPr>
            <w:tcW w:w="2124" w:type="dxa"/>
          </w:tcPr>
          <w:p w14:paraId="549E06A3" w14:textId="77777777" w:rsidR="00CE30BE" w:rsidRPr="00993D82" w:rsidRDefault="00CE30BE" w:rsidP="00CE30BE">
            <w:pPr>
              <w:rPr>
                <w:color w:val="404040" w:themeColor="text1" w:themeTint="BF"/>
              </w:rPr>
            </w:pPr>
            <w:r w:rsidRPr="00993D82">
              <w:rPr>
                <w:color w:val="404040" w:themeColor="text1" w:themeTint="BF"/>
              </w:rPr>
              <w:t>81 98169-6952</w:t>
            </w:r>
          </w:p>
          <w:p w14:paraId="43518DB2" w14:textId="77777777" w:rsidR="002B4DAC" w:rsidRPr="00993D82" w:rsidRDefault="002B4DAC" w:rsidP="00D42F33">
            <w:pPr>
              <w:rPr>
                <w:color w:val="404040" w:themeColor="text1" w:themeTint="BF"/>
              </w:rPr>
            </w:pPr>
          </w:p>
        </w:tc>
      </w:tr>
      <w:tr w:rsidR="002B4DAC" w:rsidRPr="00385677" w14:paraId="1711A4D3" w14:textId="77777777" w:rsidTr="00CE30BE">
        <w:tc>
          <w:tcPr>
            <w:tcW w:w="1980" w:type="dxa"/>
          </w:tcPr>
          <w:p w14:paraId="16B1E9DF" w14:textId="77777777" w:rsidR="002B4DAC" w:rsidRPr="00385677" w:rsidRDefault="002B4DAC" w:rsidP="00D42F33">
            <w:pPr>
              <w:rPr>
                <w:b/>
                <w:bCs/>
                <w:color w:val="404040" w:themeColor="text1" w:themeTint="BF"/>
              </w:rPr>
            </w:pPr>
          </w:p>
        </w:tc>
        <w:tc>
          <w:tcPr>
            <w:tcW w:w="2835" w:type="dxa"/>
          </w:tcPr>
          <w:p w14:paraId="4265BD7E" w14:textId="77777777" w:rsidR="002B4DAC" w:rsidRPr="00385677" w:rsidRDefault="002B4DAC" w:rsidP="00D42F33">
            <w:pPr>
              <w:rPr>
                <w:b/>
                <w:bCs/>
                <w:color w:val="404040" w:themeColor="text1" w:themeTint="BF"/>
              </w:rPr>
            </w:pPr>
          </w:p>
        </w:tc>
        <w:tc>
          <w:tcPr>
            <w:tcW w:w="1555" w:type="dxa"/>
          </w:tcPr>
          <w:p w14:paraId="54236E6D" w14:textId="77777777" w:rsidR="002B4DAC" w:rsidRPr="00385677" w:rsidRDefault="002B4DAC" w:rsidP="00D42F33">
            <w:pPr>
              <w:rPr>
                <w:b/>
                <w:bCs/>
                <w:color w:val="404040" w:themeColor="text1" w:themeTint="BF"/>
              </w:rPr>
            </w:pPr>
          </w:p>
        </w:tc>
        <w:tc>
          <w:tcPr>
            <w:tcW w:w="2124" w:type="dxa"/>
          </w:tcPr>
          <w:p w14:paraId="6E503BC3" w14:textId="77777777" w:rsidR="002B4DAC" w:rsidRPr="00385677" w:rsidRDefault="002B4DAC" w:rsidP="00D42F33">
            <w:pPr>
              <w:rPr>
                <w:b/>
                <w:bCs/>
                <w:color w:val="404040" w:themeColor="text1" w:themeTint="BF"/>
              </w:rPr>
            </w:pPr>
          </w:p>
        </w:tc>
      </w:tr>
    </w:tbl>
    <w:p w14:paraId="3E75188B" w14:textId="60CD5E24" w:rsidR="00765243" w:rsidRPr="00385677" w:rsidRDefault="00765243" w:rsidP="00D42F33">
      <w:pPr>
        <w:rPr>
          <w:b/>
          <w:bCs/>
          <w:color w:val="3B3B98"/>
        </w:rPr>
      </w:pPr>
    </w:p>
    <w:tbl>
      <w:tblPr>
        <w:tblStyle w:val="Tabelacomgrade"/>
        <w:tblW w:w="8500" w:type="dxa"/>
        <w:tblLook w:val="04A0" w:firstRow="1" w:lastRow="0" w:firstColumn="1" w:lastColumn="0" w:noHBand="0" w:noVBand="1"/>
      </w:tblPr>
      <w:tblGrid>
        <w:gridCol w:w="7366"/>
        <w:gridCol w:w="1134"/>
      </w:tblGrid>
      <w:tr w:rsidR="00385677" w:rsidRPr="00385677" w14:paraId="44930EDC" w14:textId="77777777" w:rsidTr="003A48B1">
        <w:trPr>
          <w:trHeight w:val="765"/>
        </w:trPr>
        <w:tc>
          <w:tcPr>
            <w:tcW w:w="7366" w:type="dxa"/>
            <w:vAlign w:val="center"/>
            <w:hideMark/>
          </w:tcPr>
          <w:p w14:paraId="5E6BD4A1" w14:textId="77777777" w:rsidR="003A48B1" w:rsidRPr="00385677" w:rsidRDefault="003A48B1" w:rsidP="003A48B1">
            <w:pPr>
              <w:rPr>
                <w:b/>
                <w:bCs/>
                <w:color w:val="3B3B98"/>
              </w:rPr>
            </w:pPr>
            <w:r w:rsidRPr="00385677">
              <w:rPr>
                <w:b/>
                <w:bCs/>
                <w:color w:val="3B3B98"/>
              </w:rPr>
              <w:t>A instituição atende ao previsto nos incisos I e II do § 2º art. 21 da Resolução CMN nº 4.963/2021?</w:t>
            </w:r>
          </w:p>
        </w:tc>
        <w:tc>
          <w:tcPr>
            <w:tcW w:w="1134" w:type="dxa"/>
            <w:vAlign w:val="center"/>
            <w:hideMark/>
          </w:tcPr>
          <w:p w14:paraId="69C902E5"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69AE4CD1" w14:textId="77777777" w:rsidTr="003A48B1">
        <w:trPr>
          <w:trHeight w:val="692"/>
        </w:trPr>
        <w:tc>
          <w:tcPr>
            <w:tcW w:w="7366" w:type="dxa"/>
            <w:vAlign w:val="center"/>
            <w:hideMark/>
          </w:tcPr>
          <w:p w14:paraId="58ADE9EF" w14:textId="77777777" w:rsidR="003A48B1" w:rsidRPr="00385677" w:rsidRDefault="003A48B1" w:rsidP="003A48B1">
            <w:pPr>
              <w:rPr>
                <w:b/>
                <w:bCs/>
                <w:color w:val="3B3B98"/>
              </w:rPr>
            </w:pPr>
            <w:r w:rsidRPr="00385677">
              <w:rPr>
                <w:b/>
                <w:bCs/>
                <w:color w:val="3B3B98"/>
              </w:rPr>
              <w:t>A instituição está livre de registros de suspensão ou de inabilitação na CVM ou outro órgão competente?</w:t>
            </w:r>
          </w:p>
        </w:tc>
        <w:tc>
          <w:tcPr>
            <w:tcW w:w="1134" w:type="dxa"/>
            <w:vAlign w:val="center"/>
            <w:hideMark/>
          </w:tcPr>
          <w:p w14:paraId="22F451C3" w14:textId="33D69B90" w:rsidR="003A48B1" w:rsidRPr="00385677" w:rsidRDefault="002937A0" w:rsidP="00F11446">
            <w:pPr>
              <w:jc w:val="center"/>
              <w:rPr>
                <w:color w:val="404040" w:themeColor="text1" w:themeTint="BF"/>
              </w:rPr>
            </w:pPr>
            <w:r>
              <w:rPr>
                <w:color w:val="404040" w:themeColor="text1" w:themeTint="BF"/>
              </w:rPr>
              <w:t>Sim</w:t>
            </w:r>
          </w:p>
        </w:tc>
      </w:tr>
      <w:tr w:rsidR="00385677" w:rsidRPr="00385677" w14:paraId="370411E3" w14:textId="77777777" w:rsidTr="003A48B1">
        <w:trPr>
          <w:trHeight w:val="1268"/>
        </w:trPr>
        <w:tc>
          <w:tcPr>
            <w:tcW w:w="7366" w:type="dxa"/>
            <w:vAlign w:val="center"/>
            <w:hideMark/>
          </w:tcPr>
          <w:p w14:paraId="5EC5DEC4" w14:textId="34D1C20B" w:rsidR="003A48B1" w:rsidRPr="00385677" w:rsidRDefault="003A48B1" w:rsidP="003A48B1">
            <w:pPr>
              <w:rPr>
                <w:b/>
                <w:bCs/>
                <w:color w:val="3B3B98"/>
              </w:rPr>
            </w:pPr>
            <w:r w:rsidRPr="00385677">
              <w:rPr>
                <w:b/>
                <w:bCs/>
                <w:color w:val="3B3B98"/>
              </w:rPr>
              <w:t>A instituição detém elevado padrão ético de conduta nas operações realizadas no mercado financeiro</w:t>
            </w:r>
            <w:r w:rsidR="003837CA">
              <w:rPr>
                <w:b/>
                <w:bCs/>
                <w:color w:val="3B3B98"/>
              </w:rPr>
              <w:t>?</w:t>
            </w:r>
            <w:r w:rsidRPr="00385677">
              <w:rPr>
                <w:b/>
                <w:bCs/>
                <w:color w:val="3B3B98"/>
              </w:rPr>
              <w:t xml:space="preserve"> </w:t>
            </w:r>
          </w:p>
        </w:tc>
        <w:tc>
          <w:tcPr>
            <w:tcW w:w="1134" w:type="dxa"/>
            <w:vAlign w:val="center"/>
            <w:hideMark/>
          </w:tcPr>
          <w:p w14:paraId="67FFF42B"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37CA" w:rsidRPr="00385677" w14:paraId="5D8DC4A7" w14:textId="77777777" w:rsidTr="003A48B1">
        <w:trPr>
          <w:trHeight w:val="1268"/>
        </w:trPr>
        <w:tc>
          <w:tcPr>
            <w:tcW w:w="7366" w:type="dxa"/>
            <w:vAlign w:val="center"/>
          </w:tcPr>
          <w:p w14:paraId="511D3084" w14:textId="747CA21D" w:rsidR="003837CA" w:rsidRPr="00385677" w:rsidRDefault="003837CA" w:rsidP="003A48B1">
            <w:pPr>
              <w:rPr>
                <w:b/>
                <w:bCs/>
                <w:color w:val="3B3B98"/>
              </w:rPr>
            </w:pPr>
            <w:r>
              <w:rPr>
                <w:b/>
                <w:bCs/>
                <w:color w:val="3B3B98"/>
              </w:rPr>
              <w:t>A instituição</w:t>
            </w:r>
            <w:r w:rsidRPr="00385677">
              <w:rPr>
                <w:b/>
                <w:bCs/>
                <w:color w:val="3B3B98"/>
              </w:rPr>
              <w:t xml:space="preserve"> possui restrições que, a critério da CVM, do Banco Central do Brasil ou de outros órgãos competentes, desaconselhem um relacionamento seguro?</w:t>
            </w:r>
          </w:p>
        </w:tc>
        <w:tc>
          <w:tcPr>
            <w:tcW w:w="1134" w:type="dxa"/>
            <w:vAlign w:val="center"/>
          </w:tcPr>
          <w:p w14:paraId="67DB27AB" w14:textId="28538863" w:rsidR="003837CA" w:rsidRPr="00385677" w:rsidRDefault="002937A0" w:rsidP="00F11446">
            <w:pPr>
              <w:jc w:val="center"/>
              <w:rPr>
                <w:color w:val="404040" w:themeColor="text1" w:themeTint="BF"/>
              </w:rPr>
            </w:pPr>
            <w:r>
              <w:rPr>
                <w:color w:val="404040" w:themeColor="text1" w:themeTint="BF"/>
              </w:rPr>
              <w:t>Não</w:t>
            </w:r>
          </w:p>
        </w:tc>
      </w:tr>
      <w:tr w:rsidR="00385677" w:rsidRPr="00385677" w14:paraId="558EC38A" w14:textId="77777777" w:rsidTr="003A48B1">
        <w:trPr>
          <w:trHeight w:val="833"/>
        </w:trPr>
        <w:tc>
          <w:tcPr>
            <w:tcW w:w="7366" w:type="dxa"/>
            <w:vAlign w:val="center"/>
            <w:hideMark/>
          </w:tcPr>
          <w:p w14:paraId="322EF98C" w14:textId="77777777" w:rsidR="003A48B1" w:rsidRPr="00385677" w:rsidRDefault="003A48B1" w:rsidP="003A48B1">
            <w:pPr>
              <w:rPr>
                <w:b/>
                <w:bCs/>
                <w:color w:val="3B3B98"/>
              </w:rPr>
            </w:pPr>
            <w:r w:rsidRPr="00385677">
              <w:rPr>
                <w:b/>
                <w:bCs/>
                <w:color w:val="3B3B98"/>
              </w:rPr>
              <w:t>Os profissionais diretamente relacionados à gestão de ativos de terceiros da instituição possuem experiência mínima de 5 (cinco) anos na atividade?</w:t>
            </w:r>
          </w:p>
        </w:tc>
        <w:tc>
          <w:tcPr>
            <w:tcW w:w="1134" w:type="dxa"/>
            <w:vAlign w:val="center"/>
            <w:hideMark/>
          </w:tcPr>
          <w:p w14:paraId="4F283FA8"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3CD6E2E6" w14:textId="77777777" w:rsidTr="003A48B1">
        <w:trPr>
          <w:trHeight w:val="703"/>
        </w:trPr>
        <w:tc>
          <w:tcPr>
            <w:tcW w:w="7366" w:type="dxa"/>
            <w:vAlign w:val="center"/>
            <w:hideMark/>
          </w:tcPr>
          <w:p w14:paraId="60F05DFF" w14:textId="77777777" w:rsidR="003A48B1" w:rsidRPr="00385677" w:rsidRDefault="003A48B1" w:rsidP="003A48B1">
            <w:pPr>
              <w:rPr>
                <w:b/>
                <w:bCs/>
                <w:color w:val="3B3B98"/>
              </w:rPr>
            </w:pPr>
            <w:r w:rsidRPr="00385677">
              <w:rPr>
                <w:b/>
                <w:bCs/>
                <w:color w:val="3B3B98"/>
              </w:rPr>
              <w:lastRenderedPageBreak/>
              <w:t>A instituição e seus principais controladores possuem adequado histórico de atuação no mercado financeiro?</w:t>
            </w:r>
          </w:p>
        </w:tc>
        <w:tc>
          <w:tcPr>
            <w:tcW w:w="1134" w:type="dxa"/>
            <w:vAlign w:val="center"/>
            <w:hideMark/>
          </w:tcPr>
          <w:p w14:paraId="0052E9D0"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3F6F0AC7" w14:textId="77777777" w:rsidTr="003A48B1">
        <w:trPr>
          <w:trHeight w:val="58"/>
        </w:trPr>
        <w:tc>
          <w:tcPr>
            <w:tcW w:w="7366" w:type="dxa"/>
            <w:vAlign w:val="center"/>
            <w:hideMark/>
          </w:tcPr>
          <w:p w14:paraId="1ACB6660" w14:textId="77777777" w:rsidR="003A48B1" w:rsidRPr="00385677" w:rsidRDefault="003A48B1" w:rsidP="003A48B1">
            <w:pPr>
              <w:rPr>
                <w:b/>
                <w:bCs/>
                <w:color w:val="3B3B98"/>
              </w:rPr>
            </w:pPr>
            <w:r w:rsidRPr="00385677">
              <w:rPr>
                <w:b/>
                <w:bCs/>
                <w:color w:val="3B3B98"/>
              </w:rPr>
              <w:t>Em caso de Administrador de fundo de investimento, este detém no máximo 50% (cinquenta por cento) dos recursos sob sua administração oriundos de regimes próprios de previdência social?</w:t>
            </w:r>
          </w:p>
        </w:tc>
        <w:tc>
          <w:tcPr>
            <w:tcW w:w="1134" w:type="dxa"/>
            <w:vAlign w:val="center"/>
            <w:hideMark/>
          </w:tcPr>
          <w:p w14:paraId="08233C08" w14:textId="77777777" w:rsidR="003A48B1" w:rsidRPr="00385677" w:rsidRDefault="003A48B1" w:rsidP="00F11446">
            <w:pPr>
              <w:jc w:val="center"/>
              <w:rPr>
                <w:color w:val="404040" w:themeColor="text1" w:themeTint="BF"/>
              </w:rPr>
            </w:pPr>
            <w:r w:rsidRPr="00385677">
              <w:rPr>
                <w:color w:val="404040" w:themeColor="text1" w:themeTint="BF"/>
              </w:rPr>
              <w:t>Sim</w:t>
            </w:r>
          </w:p>
        </w:tc>
      </w:tr>
    </w:tbl>
    <w:p w14:paraId="70B1EA0E" w14:textId="77777777" w:rsidR="003A48B1" w:rsidRDefault="003A48B1" w:rsidP="003A48B1">
      <w:pPr>
        <w:rPr>
          <w:b/>
          <w:bCs/>
        </w:rPr>
      </w:pPr>
    </w:p>
    <w:p w14:paraId="1C23CA2C" w14:textId="51C9F43E" w:rsidR="000B24D3" w:rsidRPr="00385677" w:rsidRDefault="000B24D3" w:rsidP="000B24D3">
      <w:pPr>
        <w:rPr>
          <w:b/>
          <w:bCs/>
          <w:color w:val="3B3B98"/>
          <w:sz w:val="28"/>
          <w:szCs w:val="28"/>
        </w:rPr>
      </w:pPr>
      <w:r w:rsidRPr="00385677">
        <w:rPr>
          <w:b/>
          <w:bCs/>
          <w:color w:val="3B3B98"/>
          <w:sz w:val="28"/>
          <w:szCs w:val="28"/>
        </w:rPr>
        <w:t xml:space="preserve">III – </w:t>
      </w:r>
      <w:r w:rsidR="003B303C">
        <w:rPr>
          <w:b/>
          <w:bCs/>
          <w:color w:val="3B3B98"/>
          <w:sz w:val="28"/>
          <w:szCs w:val="28"/>
        </w:rPr>
        <w:t>SOBRE OS FUNDOS</w:t>
      </w:r>
    </w:p>
    <w:tbl>
      <w:tblPr>
        <w:tblStyle w:val="Tabelacomgrade"/>
        <w:tblW w:w="0" w:type="auto"/>
        <w:tblInd w:w="-5" w:type="dxa"/>
        <w:tblLook w:val="04A0" w:firstRow="1" w:lastRow="0" w:firstColumn="1" w:lastColumn="0" w:noHBand="0" w:noVBand="1"/>
      </w:tblPr>
      <w:tblGrid>
        <w:gridCol w:w="8499"/>
      </w:tblGrid>
      <w:tr w:rsidR="000B24D3" w:rsidRPr="006E6BAD" w14:paraId="09DD09C4" w14:textId="77777777" w:rsidTr="00E164D0">
        <w:tc>
          <w:tcPr>
            <w:tcW w:w="8499" w:type="dxa"/>
            <w:shd w:val="clear" w:color="auto" w:fill="3B3B98"/>
          </w:tcPr>
          <w:p w14:paraId="240FB69A" w14:textId="7DD30C52" w:rsidR="000B24D3" w:rsidRPr="00B50007" w:rsidRDefault="003B303C" w:rsidP="00E164D0">
            <w:pPr>
              <w:rPr>
                <w:b/>
                <w:bCs/>
              </w:rPr>
            </w:pPr>
            <w:r w:rsidRPr="003B303C">
              <w:rPr>
                <w:b/>
                <w:bCs/>
                <w:color w:val="FFFFFF" w:themeColor="background1"/>
              </w:rPr>
              <w:t>DAS CLASSES DE FUNDOS DE INVESTIMENTOS EM QUE A INSTITUIÇÃO ESTÁ SENDO CREDENCIADA:</w:t>
            </w:r>
          </w:p>
        </w:tc>
      </w:tr>
    </w:tbl>
    <w:p w14:paraId="6AAD1537" w14:textId="77777777" w:rsidR="00572A45" w:rsidRPr="00A9090C" w:rsidRDefault="00572A45" w:rsidP="00572A45">
      <w:pPr>
        <w:jc w:val="both"/>
        <w:rPr>
          <w:color w:val="404040" w:themeColor="text1" w:themeTint="BF"/>
        </w:rPr>
      </w:pPr>
      <w:r w:rsidRPr="00A9090C">
        <w:rPr>
          <w:color w:val="404040" w:themeColor="text1" w:themeTint="BF"/>
        </w:rPr>
        <w:t xml:space="preserve">A Itaú </w:t>
      </w:r>
      <w:proofErr w:type="spellStart"/>
      <w:r w:rsidRPr="00A9090C">
        <w:rPr>
          <w:color w:val="404040" w:themeColor="text1" w:themeTint="BF"/>
        </w:rPr>
        <w:t>Asset</w:t>
      </w:r>
      <w:proofErr w:type="spellEnd"/>
      <w:r w:rsidRPr="00A9090C">
        <w:rPr>
          <w:color w:val="404040" w:themeColor="text1" w:themeTint="BF"/>
        </w:rPr>
        <w:t xml:space="preserve"> Management, como </w:t>
      </w:r>
      <w:r w:rsidRPr="00572A45">
        <w:rPr>
          <w:color w:val="404040" w:themeColor="text1" w:themeTint="BF"/>
        </w:rPr>
        <w:t>uma das principais gestoras</w:t>
      </w:r>
      <w:r w:rsidRPr="00A9090C">
        <w:rPr>
          <w:color w:val="404040" w:themeColor="text1" w:themeTint="BF"/>
        </w:rPr>
        <w:t xml:space="preserve"> de recursos do Brasil, faz a gestão de uma vasta gama de classes de fundos e estratégias de investimento. A empresa busca oferecer um mix diversificado de produtos e clientes, e sua abordagem inclui um sofisticado modelo </w:t>
      </w:r>
      <w:proofErr w:type="spellStart"/>
      <w:r w:rsidRPr="00A9090C">
        <w:rPr>
          <w:color w:val="404040" w:themeColor="text1" w:themeTint="BF"/>
        </w:rPr>
        <w:t>multimesas</w:t>
      </w:r>
      <w:proofErr w:type="spellEnd"/>
      <w:r w:rsidRPr="00A9090C">
        <w:rPr>
          <w:color w:val="404040" w:themeColor="text1" w:themeTint="BF"/>
        </w:rPr>
        <w:t>.</w:t>
      </w:r>
    </w:p>
    <w:p w14:paraId="0D13D3DF" w14:textId="77777777" w:rsidR="00572A45" w:rsidRPr="00A9090C" w:rsidRDefault="00572A45" w:rsidP="00572A45">
      <w:pPr>
        <w:jc w:val="both"/>
        <w:rPr>
          <w:color w:val="404040" w:themeColor="text1" w:themeTint="BF"/>
        </w:rPr>
      </w:pPr>
      <w:r w:rsidRPr="00A9090C">
        <w:rPr>
          <w:color w:val="404040" w:themeColor="text1" w:themeTint="BF"/>
        </w:rPr>
        <w:t xml:space="preserve">As principais classes de fundos e estratégias que a Itaú </w:t>
      </w:r>
      <w:proofErr w:type="spellStart"/>
      <w:r w:rsidRPr="00A9090C">
        <w:rPr>
          <w:color w:val="404040" w:themeColor="text1" w:themeTint="BF"/>
        </w:rPr>
        <w:t>Asset</w:t>
      </w:r>
      <w:proofErr w:type="spellEnd"/>
      <w:r w:rsidRPr="00A9090C">
        <w:rPr>
          <w:color w:val="404040" w:themeColor="text1" w:themeTint="BF"/>
        </w:rPr>
        <w:t xml:space="preserve"> faz a gestão incluem:</w:t>
      </w:r>
    </w:p>
    <w:p w14:paraId="4CB3D346" w14:textId="77777777" w:rsidR="00572A45" w:rsidRPr="00A9090C" w:rsidRDefault="00572A45" w:rsidP="00572A45">
      <w:pPr>
        <w:jc w:val="both"/>
        <w:rPr>
          <w:color w:val="404040" w:themeColor="text1" w:themeTint="BF"/>
        </w:rPr>
      </w:pPr>
      <w:r w:rsidRPr="00A9090C">
        <w:rPr>
          <w:color w:val="404040" w:themeColor="text1" w:themeTint="BF"/>
        </w:rPr>
        <w:t>• Renda Fixa: Esta é uma das categorias mais relevantes, representando 53% do total de ativos sob gestão em dados recentes, e 48% em setembro de 2021. A gestora oferece Fundos de Renda Fixa Local e Renda Fixa Global, além de ter sido pioneira com o lançamento do IMAB11, seu primeiro ETF de Renda Fixa. A rentabilidade dos fundos DI e de renda fixa se torna mais atrativa com a elevação da taxa Selic.</w:t>
      </w:r>
    </w:p>
    <w:p w14:paraId="29BD064A" w14:textId="77777777" w:rsidR="00572A45" w:rsidRPr="00A9090C" w:rsidRDefault="00572A45" w:rsidP="00572A45">
      <w:pPr>
        <w:jc w:val="both"/>
        <w:rPr>
          <w:color w:val="404040" w:themeColor="text1" w:themeTint="BF"/>
        </w:rPr>
      </w:pPr>
      <w:r w:rsidRPr="00A9090C">
        <w:rPr>
          <w:color w:val="404040" w:themeColor="text1" w:themeTint="BF"/>
        </w:rPr>
        <w:t xml:space="preserve">• Multimercado: Esta categoria representa 17% dos ativos sob gestão, e 21% em setembro de 2021. A Itaú </w:t>
      </w:r>
      <w:proofErr w:type="spellStart"/>
      <w:r w:rsidRPr="00A9090C">
        <w:rPr>
          <w:color w:val="404040" w:themeColor="text1" w:themeTint="BF"/>
        </w:rPr>
        <w:t>Asset</w:t>
      </w:r>
      <w:proofErr w:type="spellEnd"/>
      <w:r w:rsidRPr="00A9090C">
        <w:rPr>
          <w:color w:val="404040" w:themeColor="text1" w:themeTint="BF"/>
        </w:rPr>
        <w:t xml:space="preserve"> lançou seu primeiro produto Multimercado (Itaú K2) e é líder de </w:t>
      </w:r>
      <w:proofErr w:type="spellStart"/>
      <w:r w:rsidRPr="00A9090C">
        <w:rPr>
          <w:color w:val="404040" w:themeColor="text1" w:themeTint="BF"/>
        </w:rPr>
        <w:t>market</w:t>
      </w:r>
      <w:proofErr w:type="spellEnd"/>
      <w:r w:rsidRPr="00A9090C">
        <w:rPr>
          <w:color w:val="404040" w:themeColor="text1" w:themeTint="BF"/>
        </w:rPr>
        <w:t xml:space="preserve"> </w:t>
      </w:r>
      <w:proofErr w:type="spellStart"/>
      <w:r w:rsidRPr="00A9090C">
        <w:rPr>
          <w:color w:val="404040" w:themeColor="text1" w:themeTint="BF"/>
        </w:rPr>
        <w:t>share</w:t>
      </w:r>
      <w:proofErr w:type="spellEnd"/>
      <w:r w:rsidRPr="00A9090C">
        <w:rPr>
          <w:color w:val="404040" w:themeColor="text1" w:themeTint="BF"/>
        </w:rPr>
        <w:t xml:space="preserve"> em Retorno Absoluto. Dentro da estratégia de Retorno Absoluto, a gestão é dividida em </w:t>
      </w:r>
      <w:proofErr w:type="spellStart"/>
      <w:r w:rsidRPr="00A9090C">
        <w:rPr>
          <w:color w:val="404040" w:themeColor="text1" w:themeTint="BF"/>
        </w:rPr>
        <w:t>multimesas</w:t>
      </w:r>
      <w:proofErr w:type="spellEnd"/>
      <w:r w:rsidRPr="00A9090C">
        <w:rPr>
          <w:color w:val="404040" w:themeColor="text1" w:themeTint="BF"/>
        </w:rPr>
        <w:t xml:space="preserve"> que abordam subcategorias como:</w:t>
      </w:r>
    </w:p>
    <w:p w14:paraId="53A700E6" w14:textId="77777777" w:rsidR="00572A45" w:rsidRPr="00A9090C" w:rsidRDefault="00572A45" w:rsidP="00572A45">
      <w:pPr>
        <w:spacing w:after="0"/>
        <w:jc w:val="both"/>
        <w:rPr>
          <w:color w:val="404040" w:themeColor="text1" w:themeTint="BF"/>
        </w:rPr>
      </w:pPr>
      <w:r w:rsidRPr="00A9090C">
        <w:rPr>
          <w:color w:val="404040" w:themeColor="text1" w:themeTint="BF"/>
        </w:rPr>
        <w:t>    ◦ Macro</w:t>
      </w:r>
    </w:p>
    <w:p w14:paraId="48DA645A" w14:textId="77777777" w:rsidR="00572A45" w:rsidRPr="00A9090C" w:rsidRDefault="00572A45" w:rsidP="00572A45">
      <w:pPr>
        <w:spacing w:after="0"/>
        <w:jc w:val="both"/>
        <w:rPr>
          <w:color w:val="404040" w:themeColor="text1" w:themeTint="BF"/>
        </w:rPr>
      </w:pPr>
      <w:r w:rsidRPr="00A9090C">
        <w:rPr>
          <w:color w:val="404040" w:themeColor="text1" w:themeTint="BF"/>
        </w:rPr>
        <w:t>    ◦ Juros e Moedas</w:t>
      </w:r>
    </w:p>
    <w:p w14:paraId="7D48A0A4" w14:textId="77777777" w:rsidR="00572A45" w:rsidRPr="00A9090C" w:rsidRDefault="00572A45" w:rsidP="00572A45">
      <w:pPr>
        <w:spacing w:after="0"/>
        <w:jc w:val="both"/>
        <w:rPr>
          <w:color w:val="404040" w:themeColor="text1" w:themeTint="BF"/>
        </w:rPr>
      </w:pPr>
      <w:r w:rsidRPr="00A9090C">
        <w:rPr>
          <w:color w:val="404040" w:themeColor="text1" w:themeTint="BF"/>
        </w:rPr>
        <w:t xml:space="preserve">    ◦ RV </w:t>
      </w:r>
      <w:proofErr w:type="spellStart"/>
      <w:r w:rsidRPr="00A9090C">
        <w:rPr>
          <w:color w:val="404040" w:themeColor="text1" w:themeTint="BF"/>
        </w:rPr>
        <w:t>Unconstrained</w:t>
      </w:r>
      <w:proofErr w:type="spellEnd"/>
      <w:r w:rsidRPr="00A9090C">
        <w:rPr>
          <w:color w:val="404040" w:themeColor="text1" w:themeTint="BF"/>
        </w:rPr>
        <w:t xml:space="preserve"> (Renda Variável </w:t>
      </w:r>
      <w:proofErr w:type="spellStart"/>
      <w:r w:rsidRPr="00A9090C">
        <w:rPr>
          <w:color w:val="404040" w:themeColor="text1" w:themeTint="BF"/>
        </w:rPr>
        <w:t>Unconstrained</w:t>
      </w:r>
      <w:proofErr w:type="spellEnd"/>
      <w:r w:rsidRPr="00A9090C">
        <w:rPr>
          <w:color w:val="404040" w:themeColor="text1" w:themeTint="BF"/>
        </w:rPr>
        <w:t>)</w:t>
      </w:r>
    </w:p>
    <w:p w14:paraId="6647AC83" w14:textId="77777777" w:rsidR="00572A45" w:rsidRPr="00A9090C" w:rsidRDefault="00572A45" w:rsidP="00572A45">
      <w:pPr>
        <w:spacing w:after="0"/>
        <w:jc w:val="both"/>
        <w:rPr>
          <w:color w:val="404040" w:themeColor="text1" w:themeTint="BF"/>
        </w:rPr>
      </w:pPr>
      <w:r w:rsidRPr="00A9090C">
        <w:rPr>
          <w:color w:val="404040" w:themeColor="text1" w:themeTint="BF"/>
        </w:rPr>
        <w:t>    ◦ L/S (</w:t>
      </w:r>
      <w:proofErr w:type="spellStart"/>
      <w:r w:rsidRPr="00A9090C">
        <w:rPr>
          <w:color w:val="404040" w:themeColor="text1" w:themeTint="BF"/>
        </w:rPr>
        <w:t>Long</w:t>
      </w:r>
      <w:proofErr w:type="spellEnd"/>
      <w:r w:rsidRPr="00A9090C">
        <w:rPr>
          <w:color w:val="404040" w:themeColor="text1" w:themeTint="BF"/>
        </w:rPr>
        <w:t>/Short)</w:t>
      </w:r>
    </w:p>
    <w:p w14:paraId="66B1FE05" w14:textId="77777777" w:rsidR="00572A45" w:rsidRPr="00A9090C" w:rsidRDefault="00572A45" w:rsidP="00572A45">
      <w:pPr>
        <w:spacing w:after="0"/>
        <w:jc w:val="both"/>
        <w:rPr>
          <w:color w:val="404040" w:themeColor="text1" w:themeTint="BF"/>
        </w:rPr>
      </w:pPr>
      <w:r w:rsidRPr="00A9090C">
        <w:rPr>
          <w:color w:val="404040" w:themeColor="text1" w:themeTint="BF"/>
        </w:rPr>
        <w:t xml:space="preserve">    ◦ RF </w:t>
      </w:r>
      <w:proofErr w:type="spellStart"/>
      <w:r w:rsidRPr="00A9090C">
        <w:rPr>
          <w:color w:val="404040" w:themeColor="text1" w:themeTint="BF"/>
        </w:rPr>
        <w:t>Unconstrained</w:t>
      </w:r>
      <w:proofErr w:type="spellEnd"/>
    </w:p>
    <w:p w14:paraId="556AFD40" w14:textId="77777777" w:rsidR="00572A45" w:rsidRPr="00A9090C" w:rsidRDefault="00572A45" w:rsidP="00572A45">
      <w:pPr>
        <w:spacing w:after="0"/>
        <w:jc w:val="both"/>
        <w:rPr>
          <w:color w:val="404040" w:themeColor="text1" w:themeTint="BF"/>
        </w:rPr>
      </w:pPr>
      <w:r w:rsidRPr="00A9090C">
        <w:rPr>
          <w:color w:val="404040" w:themeColor="text1" w:themeTint="BF"/>
        </w:rPr>
        <w:t xml:space="preserve">    ◦ </w:t>
      </w:r>
      <w:proofErr w:type="spellStart"/>
      <w:r w:rsidRPr="00A9090C">
        <w:rPr>
          <w:color w:val="404040" w:themeColor="text1" w:themeTint="BF"/>
        </w:rPr>
        <w:t>Long</w:t>
      </w:r>
      <w:proofErr w:type="spellEnd"/>
      <w:r w:rsidRPr="00A9090C">
        <w:rPr>
          <w:color w:val="404040" w:themeColor="text1" w:themeTint="BF"/>
        </w:rPr>
        <w:t xml:space="preserve"> Bias</w:t>
      </w:r>
    </w:p>
    <w:p w14:paraId="04826EA0" w14:textId="77777777" w:rsidR="00572A45" w:rsidRPr="00A9090C" w:rsidRDefault="00572A45" w:rsidP="00572A45">
      <w:pPr>
        <w:spacing w:after="0"/>
        <w:jc w:val="both"/>
        <w:rPr>
          <w:color w:val="404040" w:themeColor="text1" w:themeTint="BF"/>
        </w:rPr>
      </w:pPr>
      <w:r w:rsidRPr="00A9090C">
        <w:rPr>
          <w:color w:val="404040" w:themeColor="text1" w:themeTint="BF"/>
        </w:rPr>
        <w:t>    ◦ Infra/Agro/</w:t>
      </w:r>
      <w:proofErr w:type="spellStart"/>
      <w:r w:rsidRPr="00A9090C">
        <w:rPr>
          <w:color w:val="404040" w:themeColor="text1" w:themeTint="BF"/>
        </w:rPr>
        <w:t>Imob</w:t>
      </w:r>
      <w:proofErr w:type="spellEnd"/>
      <w:r w:rsidRPr="00A9090C">
        <w:rPr>
          <w:color w:val="404040" w:themeColor="text1" w:themeTint="BF"/>
        </w:rPr>
        <w:t xml:space="preserve"> (Infraestrutura/Agronegócio/Imobiliário)</w:t>
      </w:r>
    </w:p>
    <w:p w14:paraId="1ADA9298" w14:textId="77777777" w:rsidR="00572A45" w:rsidRDefault="00572A45" w:rsidP="00572A45">
      <w:pPr>
        <w:spacing w:after="0"/>
        <w:jc w:val="both"/>
        <w:rPr>
          <w:color w:val="404040" w:themeColor="text1" w:themeTint="BF"/>
        </w:rPr>
      </w:pPr>
      <w:r w:rsidRPr="00A9090C">
        <w:rPr>
          <w:color w:val="404040" w:themeColor="text1" w:themeTint="BF"/>
        </w:rPr>
        <w:t>    ◦ Operações Estruturadas</w:t>
      </w:r>
    </w:p>
    <w:p w14:paraId="07D508C5" w14:textId="77777777" w:rsidR="00572A45" w:rsidRPr="00A9090C" w:rsidRDefault="00572A45" w:rsidP="00572A45">
      <w:pPr>
        <w:spacing w:after="0"/>
        <w:jc w:val="both"/>
        <w:rPr>
          <w:color w:val="404040" w:themeColor="text1" w:themeTint="BF"/>
        </w:rPr>
      </w:pPr>
    </w:p>
    <w:p w14:paraId="4E3699F9" w14:textId="77777777" w:rsidR="00572A45" w:rsidRPr="00A9090C" w:rsidRDefault="00572A45" w:rsidP="00572A45">
      <w:pPr>
        <w:jc w:val="both"/>
        <w:rPr>
          <w:color w:val="404040" w:themeColor="text1" w:themeTint="BF"/>
        </w:rPr>
      </w:pPr>
      <w:r w:rsidRPr="00A9090C">
        <w:rPr>
          <w:color w:val="404040" w:themeColor="text1" w:themeTint="BF"/>
        </w:rPr>
        <w:t xml:space="preserve">• Ações (Renda Variável): Representa 4,8% dos ativos sob gestão, e 7% em setembro de 2021. A Itaú </w:t>
      </w:r>
      <w:proofErr w:type="spellStart"/>
      <w:r w:rsidRPr="00A9090C">
        <w:rPr>
          <w:color w:val="404040" w:themeColor="text1" w:themeTint="BF"/>
        </w:rPr>
        <w:t>Asset</w:t>
      </w:r>
      <w:proofErr w:type="spellEnd"/>
      <w:r w:rsidRPr="00A9090C">
        <w:rPr>
          <w:color w:val="404040" w:themeColor="text1" w:themeTint="BF"/>
        </w:rPr>
        <w:t xml:space="preserve"> lançou o primeiro fundo de renda variável do Brasil e oferece fundos de Renda Variável Local e Renda Variável Global.</w:t>
      </w:r>
    </w:p>
    <w:p w14:paraId="1FBDCD9C" w14:textId="77777777" w:rsidR="00572A45" w:rsidRPr="00A9090C" w:rsidRDefault="00572A45" w:rsidP="00572A45">
      <w:pPr>
        <w:jc w:val="both"/>
        <w:rPr>
          <w:color w:val="404040" w:themeColor="text1" w:themeTint="BF"/>
        </w:rPr>
      </w:pPr>
      <w:r w:rsidRPr="00A9090C">
        <w:rPr>
          <w:color w:val="404040" w:themeColor="text1" w:themeTint="BF"/>
        </w:rPr>
        <w:t>• Fundos de Índice (</w:t>
      </w:r>
      <w:proofErr w:type="spellStart"/>
      <w:r w:rsidRPr="00A9090C">
        <w:rPr>
          <w:color w:val="404040" w:themeColor="text1" w:themeTint="BF"/>
        </w:rPr>
        <w:t>ETFs</w:t>
      </w:r>
      <w:proofErr w:type="spellEnd"/>
      <w:r w:rsidRPr="00A9090C">
        <w:rPr>
          <w:color w:val="404040" w:themeColor="text1" w:themeTint="BF"/>
        </w:rPr>
        <w:t xml:space="preserve"> - Exchange </w:t>
      </w:r>
      <w:proofErr w:type="spellStart"/>
      <w:r w:rsidRPr="00A9090C">
        <w:rPr>
          <w:color w:val="404040" w:themeColor="text1" w:themeTint="BF"/>
        </w:rPr>
        <w:t>Traded</w:t>
      </w:r>
      <w:proofErr w:type="spellEnd"/>
      <w:r w:rsidRPr="00A9090C">
        <w:rPr>
          <w:color w:val="404040" w:themeColor="text1" w:themeTint="BF"/>
        </w:rPr>
        <w:t xml:space="preserve"> </w:t>
      </w:r>
      <w:proofErr w:type="spellStart"/>
      <w:r w:rsidRPr="00A9090C">
        <w:rPr>
          <w:color w:val="404040" w:themeColor="text1" w:themeTint="BF"/>
        </w:rPr>
        <w:t>Funds</w:t>
      </w:r>
      <w:proofErr w:type="spellEnd"/>
      <w:r w:rsidRPr="00A9090C">
        <w:rPr>
          <w:color w:val="404040" w:themeColor="text1" w:themeTint="BF"/>
        </w:rPr>
        <w:t xml:space="preserve">): Esta categoria representa 1,51% dos ativos sob gestão, e 3% em setembro de 2021. A Itaú </w:t>
      </w:r>
      <w:proofErr w:type="spellStart"/>
      <w:r w:rsidRPr="00A9090C">
        <w:rPr>
          <w:color w:val="404040" w:themeColor="text1" w:themeTint="BF"/>
        </w:rPr>
        <w:t>Asset</w:t>
      </w:r>
      <w:proofErr w:type="spellEnd"/>
      <w:r w:rsidRPr="00A9090C">
        <w:rPr>
          <w:color w:val="404040" w:themeColor="text1" w:themeTint="BF"/>
        </w:rPr>
        <w:t xml:space="preserve"> lançou o PIBB, o primeiro ETF do Brasil, e o ETF IPSA, o primeiro ETF do Chile. A gestora também oferece mais de 6 </w:t>
      </w:r>
      <w:proofErr w:type="spellStart"/>
      <w:r w:rsidRPr="00A9090C">
        <w:rPr>
          <w:color w:val="404040" w:themeColor="text1" w:themeTint="BF"/>
        </w:rPr>
        <w:t>ETFs</w:t>
      </w:r>
      <w:proofErr w:type="spellEnd"/>
      <w:r w:rsidRPr="00A9090C">
        <w:rPr>
          <w:color w:val="404040" w:themeColor="text1" w:themeTint="BF"/>
        </w:rPr>
        <w:t xml:space="preserve"> Temáticos Internacionais e fundos/</w:t>
      </w:r>
      <w:proofErr w:type="spellStart"/>
      <w:r w:rsidRPr="00A9090C">
        <w:rPr>
          <w:color w:val="404040" w:themeColor="text1" w:themeTint="BF"/>
        </w:rPr>
        <w:t>ETFs</w:t>
      </w:r>
      <w:proofErr w:type="spellEnd"/>
      <w:r w:rsidRPr="00A9090C">
        <w:rPr>
          <w:color w:val="404040" w:themeColor="text1" w:themeTint="BF"/>
        </w:rPr>
        <w:t xml:space="preserve"> que oferecem acesso ao mercado local e internacional.</w:t>
      </w:r>
    </w:p>
    <w:p w14:paraId="4F859F94" w14:textId="77777777" w:rsidR="00572A45" w:rsidRPr="00A9090C" w:rsidRDefault="00572A45" w:rsidP="00572A45">
      <w:pPr>
        <w:jc w:val="both"/>
        <w:rPr>
          <w:color w:val="404040" w:themeColor="text1" w:themeTint="BF"/>
        </w:rPr>
      </w:pPr>
      <w:r w:rsidRPr="00A9090C">
        <w:rPr>
          <w:color w:val="404040" w:themeColor="text1" w:themeTint="BF"/>
        </w:rPr>
        <w:t xml:space="preserve">• Crédito: Inclui a gestão de Crédito Estruturado e a área de crédito focada na análise de crédito no Brasil, Estados Unidos e Latam. A Itaú </w:t>
      </w:r>
      <w:proofErr w:type="spellStart"/>
      <w:r w:rsidRPr="00A9090C">
        <w:rPr>
          <w:color w:val="404040" w:themeColor="text1" w:themeTint="BF"/>
        </w:rPr>
        <w:t>Asset</w:t>
      </w:r>
      <w:proofErr w:type="spellEnd"/>
      <w:r w:rsidRPr="00A9090C">
        <w:rPr>
          <w:color w:val="404040" w:themeColor="text1" w:themeTint="BF"/>
        </w:rPr>
        <w:t xml:space="preserve"> também gere FIDCs (Fundos de Investimento em Direitos Creditórios) como veículo de investimento.</w:t>
      </w:r>
    </w:p>
    <w:p w14:paraId="5447DCA9" w14:textId="77777777" w:rsidR="00572A45" w:rsidRPr="00A9090C" w:rsidRDefault="00572A45" w:rsidP="00572A45">
      <w:pPr>
        <w:jc w:val="both"/>
        <w:rPr>
          <w:color w:val="404040" w:themeColor="text1" w:themeTint="BF"/>
        </w:rPr>
      </w:pPr>
      <w:r w:rsidRPr="00A9090C">
        <w:rPr>
          <w:color w:val="404040" w:themeColor="text1" w:themeTint="BF"/>
        </w:rPr>
        <w:lastRenderedPageBreak/>
        <w:t>• Cambial: Representa 0,24% dos ativos sob gestão.</w:t>
      </w:r>
    </w:p>
    <w:p w14:paraId="63E92ED0" w14:textId="77777777" w:rsidR="00572A45" w:rsidRPr="00A9090C" w:rsidRDefault="00572A45" w:rsidP="00572A45">
      <w:pPr>
        <w:jc w:val="both"/>
        <w:rPr>
          <w:color w:val="404040" w:themeColor="text1" w:themeTint="BF"/>
        </w:rPr>
      </w:pPr>
      <w:r w:rsidRPr="00A9090C">
        <w:rPr>
          <w:color w:val="404040" w:themeColor="text1" w:themeTint="BF"/>
        </w:rPr>
        <w:t>• Outras Categorias:</w:t>
      </w:r>
    </w:p>
    <w:p w14:paraId="03B5BF3A" w14:textId="77777777" w:rsidR="00572A45" w:rsidRPr="00A9090C" w:rsidRDefault="00572A45" w:rsidP="00572A45">
      <w:pPr>
        <w:spacing w:after="0"/>
        <w:jc w:val="both"/>
        <w:rPr>
          <w:color w:val="404040" w:themeColor="text1" w:themeTint="BF"/>
        </w:rPr>
      </w:pPr>
      <w:r w:rsidRPr="00A9090C">
        <w:rPr>
          <w:color w:val="404040" w:themeColor="text1" w:themeTint="BF"/>
        </w:rPr>
        <w:t>    ◦ Previdência: Constitui 23% da categoria "Outras categorias" e 21% dos ativos sob gestão em setembro de 2021.</w:t>
      </w:r>
    </w:p>
    <w:p w14:paraId="6E75C97E" w14:textId="77777777" w:rsidR="00572A45" w:rsidRPr="00A9090C" w:rsidRDefault="00572A45" w:rsidP="00572A45">
      <w:pPr>
        <w:spacing w:after="0"/>
        <w:jc w:val="both"/>
        <w:rPr>
          <w:color w:val="404040" w:themeColor="text1" w:themeTint="BF"/>
        </w:rPr>
      </w:pPr>
      <w:r w:rsidRPr="00A9090C">
        <w:rPr>
          <w:color w:val="404040" w:themeColor="text1" w:themeTint="BF"/>
        </w:rPr>
        <w:t>    ◦ FIP (Fundo de Investimento em Participações): Representa 0,04%.</w:t>
      </w:r>
    </w:p>
    <w:p w14:paraId="37BFD42B" w14:textId="77777777" w:rsidR="00572A45" w:rsidRPr="00A9090C" w:rsidRDefault="00572A45" w:rsidP="00572A45">
      <w:pPr>
        <w:spacing w:after="0"/>
        <w:jc w:val="both"/>
        <w:rPr>
          <w:color w:val="404040" w:themeColor="text1" w:themeTint="BF"/>
        </w:rPr>
      </w:pPr>
      <w:r w:rsidRPr="00A9090C">
        <w:rPr>
          <w:color w:val="404040" w:themeColor="text1" w:themeTint="BF"/>
        </w:rPr>
        <w:t>    ◦ FIEE (Fundo de Investimento em Empresas Emergentes): Mencionada como uma categoria, sem percentual explícito.</w:t>
      </w:r>
    </w:p>
    <w:p w14:paraId="553B56F4" w14:textId="77777777" w:rsidR="00572A45" w:rsidRPr="00A9090C" w:rsidRDefault="00572A45" w:rsidP="00572A45">
      <w:pPr>
        <w:spacing w:after="0"/>
        <w:jc w:val="both"/>
        <w:rPr>
          <w:color w:val="404040" w:themeColor="text1" w:themeTint="BF"/>
        </w:rPr>
      </w:pPr>
      <w:r w:rsidRPr="00A9090C">
        <w:rPr>
          <w:color w:val="404040" w:themeColor="text1" w:themeTint="BF"/>
        </w:rPr>
        <w:t>    ◦ FII (Fundo de Investimento Imobiliário): Representa 0,23%.</w:t>
      </w:r>
    </w:p>
    <w:p w14:paraId="6083A69B" w14:textId="77777777" w:rsidR="00572A45" w:rsidRPr="00A9090C" w:rsidRDefault="00572A45" w:rsidP="00572A45">
      <w:pPr>
        <w:spacing w:after="0"/>
        <w:jc w:val="both"/>
        <w:rPr>
          <w:color w:val="404040" w:themeColor="text1" w:themeTint="BF"/>
        </w:rPr>
      </w:pPr>
      <w:r w:rsidRPr="00A9090C">
        <w:rPr>
          <w:color w:val="404040" w:themeColor="text1" w:themeTint="BF"/>
        </w:rPr>
        <w:t xml:space="preserve">    ◦ </w:t>
      </w:r>
      <w:proofErr w:type="spellStart"/>
      <w:r w:rsidRPr="00A9090C">
        <w:rPr>
          <w:color w:val="404040" w:themeColor="text1" w:themeTint="BF"/>
        </w:rPr>
        <w:t>Multi</w:t>
      </w:r>
      <w:proofErr w:type="spellEnd"/>
      <w:r w:rsidRPr="00A9090C">
        <w:rPr>
          <w:color w:val="404040" w:themeColor="text1" w:themeTint="BF"/>
        </w:rPr>
        <w:t xml:space="preserve"> </w:t>
      </w:r>
      <w:proofErr w:type="spellStart"/>
      <w:r w:rsidRPr="00A9090C">
        <w:rPr>
          <w:color w:val="404040" w:themeColor="text1" w:themeTint="BF"/>
        </w:rPr>
        <w:t>Asset</w:t>
      </w:r>
      <w:proofErr w:type="spellEnd"/>
      <w:r w:rsidRPr="00A9090C">
        <w:rPr>
          <w:color w:val="404040" w:themeColor="text1" w:themeTint="BF"/>
        </w:rPr>
        <w:t xml:space="preserve"> </w:t>
      </w:r>
      <w:proofErr w:type="spellStart"/>
      <w:r w:rsidRPr="00A9090C">
        <w:rPr>
          <w:color w:val="404040" w:themeColor="text1" w:themeTint="BF"/>
        </w:rPr>
        <w:t>Class</w:t>
      </w:r>
      <w:proofErr w:type="spellEnd"/>
      <w:r w:rsidRPr="00A9090C">
        <w:rPr>
          <w:color w:val="404040" w:themeColor="text1" w:themeTint="BF"/>
        </w:rPr>
        <w:t>: Soluções que acessam diversas classes de ativos.</w:t>
      </w:r>
    </w:p>
    <w:p w14:paraId="359B6B97" w14:textId="77777777" w:rsidR="00572A45" w:rsidRPr="00A9090C" w:rsidRDefault="00572A45" w:rsidP="00572A45">
      <w:pPr>
        <w:spacing w:after="0"/>
        <w:jc w:val="both"/>
        <w:rPr>
          <w:color w:val="404040" w:themeColor="text1" w:themeTint="BF"/>
        </w:rPr>
      </w:pPr>
      <w:r w:rsidRPr="00A9090C">
        <w:rPr>
          <w:color w:val="404040" w:themeColor="text1" w:themeTint="BF"/>
        </w:rPr>
        <w:t xml:space="preserve">    ◦ Beta/Indexado e </w:t>
      </w:r>
      <w:proofErr w:type="spellStart"/>
      <w:r w:rsidRPr="00A9090C">
        <w:rPr>
          <w:color w:val="404040" w:themeColor="text1" w:themeTint="BF"/>
        </w:rPr>
        <w:t>Smart</w:t>
      </w:r>
      <w:proofErr w:type="spellEnd"/>
      <w:r w:rsidRPr="00A9090C">
        <w:rPr>
          <w:color w:val="404040" w:themeColor="text1" w:themeTint="BF"/>
        </w:rPr>
        <w:t xml:space="preserve"> Beta: Estratégias que buscam replicar índices ou oferecer retornos aprimorados através de abordagens baseadas em fatores.</w:t>
      </w:r>
    </w:p>
    <w:p w14:paraId="267B4D2F" w14:textId="77777777" w:rsidR="00572A45" w:rsidRPr="00A9090C" w:rsidRDefault="00572A45" w:rsidP="00572A45">
      <w:pPr>
        <w:spacing w:after="0"/>
        <w:jc w:val="both"/>
        <w:rPr>
          <w:color w:val="404040" w:themeColor="text1" w:themeTint="BF"/>
        </w:rPr>
      </w:pPr>
      <w:r w:rsidRPr="00A9090C">
        <w:rPr>
          <w:color w:val="404040" w:themeColor="text1" w:themeTint="BF"/>
        </w:rPr>
        <w:t>    ◦ Moedas: Estratégias relacionadas a moedas.</w:t>
      </w:r>
    </w:p>
    <w:p w14:paraId="634CC8EE" w14:textId="77777777" w:rsidR="00572A45" w:rsidRPr="00A9090C" w:rsidRDefault="00572A45" w:rsidP="00572A45">
      <w:pPr>
        <w:spacing w:after="0"/>
        <w:jc w:val="both"/>
        <w:rPr>
          <w:color w:val="404040" w:themeColor="text1" w:themeTint="BF"/>
        </w:rPr>
      </w:pPr>
      <w:r w:rsidRPr="00A9090C">
        <w:rPr>
          <w:color w:val="404040" w:themeColor="text1" w:themeTint="BF"/>
        </w:rPr>
        <w:t>    ◦ Alavancados: Fundos com estratégias alavancadas.</w:t>
      </w:r>
    </w:p>
    <w:p w14:paraId="13C54FE5" w14:textId="77777777" w:rsidR="00572A45" w:rsidRPr="00A9090C" w:rsidRDefault="00572A45" w:rsidP="00572A45">
      <w:pPr>
        <w:spacing w:after="0"/>
        <w:jc w:val="both"/>
        <w:rPr>
          <w:color w:val="404040" w:themeColor="text1" w:themeTint="BF"/>
        </w:rPr>
      </w:pPr>
      <w:r w:rsidRPr="00A9090C">
        <w:rPr>
          <w:color w:val="404040" w:themeColor="text1" w:themeTint="BF"/>
        </w:rPr>
        <w:t>    ◦ Commodities: Fundos que investem em commodities.</w:t>
      </w:r>
    </w:p>
    <w:p w14:paraId="66CC9F0F" w14:textId="22B550C7" w:rsidR="00D42AAC" w:rsidRPr="00572A45" w:rsidRDefault="00572A45" w:rsidP="00572A45">
      <w:pPr>
        <w:spacing w:after="0"/>
        <w:jc w:val="both"/>
        <w:rPr>
          <w:color w:val="404040" w:themeColor="text1" w:themeTint="BF"/>
        </w:rPr>
      </w:pPr>
      <w:r w:rsidRPr="00A9090C">
        <w:rPr>
          <w:color w:val="404040" w:themeColor="text1" w:themeTint="BF"/>
        </w:rPr>
        <w:t>    ◦ Mandatos Personalizados: Acessando todas as classes de ativos.</w:t>
      </w:r>
    </w:p>
    <w:p w14:paraId="3A5C5C31" w14:textId="77777777" w:rsidR="00FF1BCD" w:rsidRPr="00385677" w:rsidRDefault="00FF1BCD" w:rsidP="000B24D3">
      <w:pPr>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3B303C" w:rsidRPr="006E6BAD" w14:paraId="547D2ED3" w14:textId="77777777" w:rsidTr="00E164D0">
        <w:tc>
          <w:tcPr>
            <w:tcW w:w="8499" w:type="dxa"/>
            <w:shd w:val="clear" w:color="auto" w:fill="3B3B98"/>
          </w:tcPr>
          <w:p w14:paraId="5F6583C6" w14:textId="65737ED7" w:rsidR="003B303C" w:rsidRPr="00B50007" w:rsidRDefault="0047448C" w:rsidP="00E164D0">
            <w:pPr>
              <w:rPr>
                <w:b/>
                <w:bCs/>
              </w:rPr>
            </w:pPr>
            <w:r w:rsidRPr="0047448C">
              <w:rPr>
                <w:b/>
                <w:bCs/>
                <w:color w:val="FFFFFF" w:themeColor="background1"/>
              </w:rPr>
              <w:t>FUNDOS ADMINISTRADOS/GERIDOS PELA INSTITUIÇÃO PARA FUTURA DECISÃO DE INVESTIMENTOS:</w:t>
            </w:r>
          </w:p>
        </w:tc>
      </w:tr>
    </w:tbl>
    <w:p w14:paraId="6719CC1A" w14:textId="6577B9AE" w:rsidR="00237256" w:rsidRPr="00034827" w:rsidRDefault="00034827" w:rsidP="003A48B1">
      <w:pPr>
        <w:rPr>
          <w:color w:val="404040" w:themeColor="text1" w:themeTint="BF"/>
        </w:rPr>
      </w:pPr>
      <w:r w:rsidRPr="00034827">
        <w:rPr>
          <w:color w:val="404040" w:themeColor="text1" w:themeTint="BF"/>
        </w:rPr>
        <w:t>Conforme o ANEXO I.</w:t>
      </w:r>
    </w:p>
    <w:p w14:paraId="2CB04205" w14:textId="77777777" w:rsidR="000B24D3" w:rsidRDefault="000B24D3" w:rsidP="003A48B1">
      <w:pPr>
        <w:rPr>
          <w:b/>
          <w:bCs/>
        </w:rPr>
      </w:pPr>
    </w:p>
    <w:p w14:paraId="786D06F8" w14:textId="02F0D719" w:rsidR="00FD3E35" w:rsidRPr="00385677" w:rsidRDefault="00237256" w:rsidP="0085754A">
      <w:pPr>
        <w:rPr>
          <w:b/>
          <w:bCs/>
          <w:color w:val="3B3B98"/>
          <w:sz w:val="28"/>
          <w:szCs w:val="28"/>
        </w:rPr>
      </w:pPr>
      <w:r w:rsidRPr="00385677">
        <w:rPr>
          <w:b/>
          <w:bCs/>
          <w:color w:val="3B3B98"/>
          <w:sz w:val="28"/>
          <w:szCs w:val="28"/>
        </w:rPr>
        <w:t>I</w:t>
      </w:r>
      <w:r w:rsidR="0047448C">
        <w:rPr>
          <w:b/>
          <w:bCs/>
          <w:color w:val="3B3B98"/>
          <w:sz w:val="28"/>
          <w:szCs w:val="28"/>
        </w:rPr>
        <w:t>V</w:t>
      </w:r>
      <w:r w:rsidRPr="00385677">
        <w:rPr>
          <w:b/>
          <w:bCs/>
          <w:color w:val="3B3B98"/>
          <w:sz w:val="28"/>
          <w:szCs w:val="28"/>
        </w:rPr>
        <w:t>– ANÁLISE DA INSTITUIÇÃO A SER CREDENCIADA</w:t>
      </w:r>
    </w:p>
    <w:tbl>
      <w:tblPr>
        <w:tblStyle w:val="Tabelacomgrade"/>
        <w:tblW w:w="0" w:type="auto"/>
        <w:tblInd w:w="-5" w:type="dxa"/>
        <w:tblLook w:val="04A0" w:firstRow="1" w:lastRow="0" w:firstColumn="1" w:lastColumn="0" w:noHBand="0" w:noVBand="1"/>
      </w:tblPr>
      <w:tblGrid>
        <w:gridCol w:w="8499"/>
      </w:tblGrid>
      <w:tr w:rsidR="006E6BAD" w:rsidRPr="006E6BAD" w14:paraId="66A9B057" w14:textId="77777777" w:rsidTr="0082059B">
        <w:tc>
          <w:tcPr>
            <w:tcW w:w="8499" w:type="dxa"/>
            <w:shd w:val="clear" w:color="auto" w:fill="3B3B98"/>
          </w:tcPr>
          <w:p w14:paraId="0D78999C" w14:textId="26AC1217" w:rsidR="006E6BAD" w:rsidRPr="00B50007" w:rsidRDefault="00EF0037" w:rsidP="00B50007">
            <w:pPr>
              <w:rPr>
                <w:b/>
                <w:bCs/>
              </w:rPr>
            </w:pPr>
            <w:r w:rsidRPr="0082059B">
              <w:rPr>
                <w:b/>
                <w:bCs/>
                <w:color w:val="FFFFFF" w:themeColor="background1"/>
              </w:rPr>
              <w:t>ATOS DE REGISTRO OU AUTORIZAÇÃO PARA FUNCIONAMENTO EXPEDIDO POR ÓRGÃO COMPETENTE.</w:t>
            </w:r>
          </w:p>
        </w:tc>
      </w:tr>
    </w:tbl>
    <w:p w14:paraId="5FAA6326" w14:textId="7703F525" w:rsidR="00572A45" w:rsidRPr="00572A45" w:rsidRDefault="00572A45" w:rsidP="00572A45">
      <w:pPr>
        <w:jc w:val="both"/>
        <w:rPr>
          <w:color w:val="404040" w:themeColor="text1" w:themeTint="BF"/>
        </w:rPr>
      </w:pPr>
      <w:r w:rsidRPr="00572A45">
        <w:rPr>
          <w:color w:val="404040" w:themeColor="text1" w:themeTint="BF"/>
        </w:rPr>
        <w:t xml:space="preserve">A Itaú Unibanco </w:t>
      </w:r>
      <w:proofErr w:type="spellStart"/>
      <w:r w:rsidRPr="00572A45">
        <w:rPr>
          <w:color w:val="404040" w:themeColor="text1" w:themeTint="BF"/>
        </w:rPr>
        <w:t>Asset</w:t>
      </w:r>
      <w:proofErr w:type="spellEnd"/>
      <w:r w:rsidRPr="00572A45">
        <w:rPr>
          <w:color w:val="404040" w:themeColor="text1" w:themeTint="BF"/>
        </w:rPr>
        <w:t xml:space="preserve"> Management LTDA (IAM) é uma gestora devidamente registrada na Comissão de Valores Mobiliários (CVM), que é o órgão regulador competente para fiscalizar e autorizar a atuação de gestoras de recursos no mercado de capitais brasileiro.</w:t>
      </w:r>
    </w:p>
    <w:p w14:paraId="1083D220" w14:textId="4A90DA08" w:rsidR="00C23D66" w:rsidRPr="00572A45" w:rsidRDefault="00572A45" w:rsidP="00572A45">
      <w:pPr>
        <w:jc w:val="both"/>
        <w:rPr>
          <w:color w:val="404040" w:themeColor="text1" w:themeTint="BF"/>
        </w:rPr>
      </w:pPr>
      <w:r w:rsidRPr="00572A45">
        <w:rPr>
          <w:color w:val="404040" w:themeColor="text1" w:themeTint="BF"/>
        </w:rPr>
        <w:t>De acordo com o Ato Declaratório nº 18.862, datado de 25 de junho de 2021, a IAM está formalmente registrada junto à CVM para o exercício das atividades de administração de carteiras de valores mobiliários. Esse ato confirma que a gestora atende aos requisitos regulatórios necessários para operar legalmente no país como gestora de recursos de terceiros.</w:t>
      </w:r>
    </w:p>
    <w:p w14:paraId="014E366E" w14:textId="77777777" w:rsidR="00C23D66" w:rsidRPr="00B50007" w:rsidRDefault="00C23D66" w:rsidP="00374AF8"/>
    <w:tbl>
      <w:tblPr>
        <w:tblStyle w:val="Tabelacomgrade"/>
        <w:tblW w:w="0" w:type="auto"/>
        <w:tblInd w:w="-5" w:type="dxa"/>
        <w:tblLook w:val="04A0" w:firstRow="1" w:lastRow="0" w:firstColumn="1" w:lastColumn="0" w:noHBand="0" w:noVBand="1"/>
      </w:tblPr>
      <w:tblGrid>
        <w:gridCol w:w="8499"/>
      </w:tblGrid>
      <w:tr w:rsidR="006E6BAD" w:rsidRPr="006E6BAD" w14:paraId="15262C5B" w14:textId="77777777" w:rsidTr="0082059B">
        <w:tc>
          <w:tcPr>
            <w:tcW w:w="8499" w:type="dxa"/>
            <w:shd w:val="clear" w:color="auto" w:fill="3B3B98"/>
          </w:tcPr>
          <w:p w14:paraId="09EE46FE" w14:textId="6DE4458E" w:rsidR="006E6BAD" w:rsidRPr="00B50007" w:rsidRDefault="00EF0037" w:rsidP="00EF0037">
            <w:pPr>
              <w:spacing w:line="279" w:lineRule="auto"/>
              <w:rPr>
                <w:b/>
                <w:bCs/>
              </w:rPr>
            </w:pPr>
            <w:r w:rsidRPr="0082059B">
              <w:rPr>
                <w:b/>
                <w:bCs/>
                <w:color w:val="FFFFFF" w:themeColor="background1"/>
              </w:rPr>
              <w:t>OBSERVÂNCIA DE ELEVADO PADRÃO ÉTICO DE CONDUTA NAS OPERAÇÕES REALIZADAS NO MERCADO FINANCEIRO E AUSÊNCIA DE RESTRIÇÕES VERIFICADAS POR ÓRGÃOS COMPETENTES.</w:t>
            </w:r>
          </w:p>
        </w:tc>
      </w:tr>
      <w:tr w:rsidR="00385677" w:rsidRPr="00385677" w14:paraId="6447AD62" w14:textId="77777777" w:rsidTr="00074CF2">
        <w:tc>
          <w:tcPr>
            <w:tcW w:w="8499" w:type="dxa"/>
          </w:tcPr>
          <w:p w14:paraId="316AABA5" w14:textId="77777777" w:rsidR="003804EF" w:rsidRPr="00385677" w:rsidRDefault="003804EF" w:rsidP="009A2B06">
            <w:pPr>
              <w:rPr>
                <w:b/>
                <w:bCs/>
                <w:color w:val="3B3B98"/>
              </w:rPr>
            </w:pPr>
            <w:r w:rsidRPr="00385677">
              <w:rPr>
                <w:b/>
                <w:bCs/>
                <w:color w:val="3B3B98"/>
              </w:rPr>
              <w:t xml:space="preserve">SOBRE ELEVADO PADRÃO ÉTICO: </w:t>
            </w:r>
          </w:p>
        </w:tc>
      </w:tr>
    </w:tbl>
    <w:p w14:paraId="4F2F4747" w14:textId="29C2CF92" w:rsidR="00742783" w:rsidRPr="00742783" w:rsidRDefault="00742783" w:rsidP="00742783">
      <w:pPr>
        <w:jc w:val="both"/>
        <w:rPr>
          <w:color w:val="404040" w:themeColor="text1" w:themeTint="BF"/>
        </w:rPr>
      </w:pPr>
      <w:r w:rsidRPr="00742783">
        <w:rPr>
          <w:color w:val="404040" w:themeColor="text1" w:themeTint="BF"/>
        </w:rPr>
        <w:t xml:space="preserve">A Itaú Unibanco </w:t>
      </w:r>
      <w:proofErr w:type="spellStart"/>
      <w:r w:rsidRPr="00742783">
        <w:rPr>
          <w:color w:val="404040" w:themeColor="text1" w:themeTint="BF"/>
        </w:rPr>
        <w:t>Asset</w:t>
      </w:r>
      <w:proofErr w:type="spellEnd"/>
      <w:r w:rsidRPr="00742783">
        <w:rPr>
          <w:color w:val="404040" w:themeColor="text1" w:themeTint="BF"/>
        </w:rPr>
        <w:t xml:space="preserve"> Management LTDA (IAM) adota um padrão ético rigoroso e possui uma estrutura de compliance integrada ao modelo de governança do conglomerado Itaú Unibanco. A instituição entende que a ética e o compliance são pilares essenciais para preservar a confiança de clientes, investidores e reguladores, bem como para garantir a integridade de suas operações no mercado financeiro. O comportamento ético é reforçado por um Código de Ética Corporativo e um Código de Conduta da </w:t>
      </w:r>
      <w:proofErr w:type="spellStart"/>
      <w:r w:rsidRPr="00742783">
        <w:rPr>
          <w:color w:val="404040" w:themeColor="text1" w:themeTint="BF"/>
        </w:rPr>
        <w:t>Wealth</w:t>
      </w:r>
      <w:proofErr w:type="spellEnd"/>
      <w:r w:rsidRPr="00742783">
        <w:rPr>
          <w:color w:val="404040" w:themeColor="text1" w:themeTint="BF"/>
        </w:rPr>
        <w:t xml:space="preserve"> Management &amp; </w:t>
      </w:r>
      <w:r w:rsidRPr="00742783">
        <w:rPr>
          <w:color w:val="404040" w:themeColor="text1" w:themeTint="BF"/>
        </w:rPr>
        <w:lastRenderedPageBreak/>
        <w:t>Services (WMS), ao qual a IAM está subordinada, e que se aplicam a todos os colaboradores.</w:t>
      </w:r>
    </w:p>
    <w:p w14:paraId="7D494F10" w14:textId="6EB57EDA" w:rsidR="00742783" w:rsidRPr="00742783" w:rsidRDefault="00742783" w:rsidP="00742783">
      <w:pPr>
        <w:jc w:val="both"/>
        <w:rPr>
          <w:color w:val="404040" w:themeColor="text1" w:themeTint="BF"/>
        </w:rPr>
      </w:pPr>
      <w:r w:rsidRPr="00742783">
        <w:rPr>
          <w:color w:val="404040" w:themeColor="text1" w:themeTint="BF"/>
        </w:rPr>
        <w:t xml:space="preserve">A adesão ao Código de Ética é feita por meio eletrônico anualmente, exigindo que todos os profissionais tomem ciência das políticas de integridade corporativa. A instituição também adota uma política específica de investimentos pessoais, com o objetivo de evitar conflitos de interesse e o uso de informações privilegiadas. São proibidas, por exemplo, operações em nome de terceiros, investimentos com fins especulativos de curto prazo e negociações que possam caracterizar front running ou </w:t>
      </w:r>
      <w:proofErr w:type="spellStart"/>
      <w:r w:rsidRPr="00742783">
        <w:rPr>
          <w:color w:val="404040" w:themeColor="text1" w:themeTint="BF"/>
        </w:rPr>
        <w:t>insider</w:t>
      </w:r>
      <w:proofErr w:type="spellEnd"/>
      <w:r w:rsidRPr="00742783">
        <w:rPr>
          <w:color w:val="404040" w:themeColor="text1" w:themeTint="BF"/>
        </w:rPr>
        <w:t xml:space="preserve"> trading. O descumprimento dessas regras está sujeito à avaliação do Comitê de Integridade e Ética.</w:t>
      </w:r>
    </w:p>
    <w:p w14:paraId="24B78224" w14:textId="43D05111" w:rsidR="00742783" w:rsidRPr="00742783" w:rsidRDefault="00742783" w:rsidP="00742783">
      <w:pPr>
        <w:jc w:val="both"/>
        <w:rPr>
          <w:color w:val="404040" w:themeColor="text1" w:themeTint="BF"/>
        </w:rPr>
      </w:pPr>
      <w:r w:rsidRPr="00742783">
        <w:rPr>
          <w:color w:val="404040" w:themeColor="text1" w:themeTint="BF"/>
        </w:rPr>
        <w:t>No que se refere ao compliance, a IAM segue o modelo de “três linhas de defesa”: as áreas de negócio (1ª linha), compliance e controles internos (2ª linha) e auditoria interna (3ª linha). O compliance é responsável por monitorar o ambiente regulatório, garantir a aderência às normas e atuar como interlocutor junto aos órgãos reguladores nacionais e internacionais. Também coordena comitês de riscos, aprova novos produtos e processos e dissemina a cultura de integridade na organização.</w:t>
      </w:r>
    </w:p>
    <w:p w14:paraId="4D182931" w14:textId="2F085BC6" w:rsidR="003804EF" w:rsidRDefault="00742783" w:rsidP="00742783">
      <w:pPr>
        <w:jc w:val="both"/>
        <w:rPr>
          <w:color w:val="404040" w:themeColor="text1" w:themeTint="BF"/>
        </w:rPr>
      </w:pPr>
      <w:r w:rsidRPr="00742783">
        <w:rPr>
          <w:color w:val="404040" w:themeColor="text1" w:themeTint="BF"/>
        </w:rPr>
        <w:t>Esse padrão ético é complementado por um programa de Prevenção à Lavagem de Dinheiro e Financiamento ao Terrorismo (PLDFT), obrigatório e contínuo para todos os colaboradores. O programa inclui treinamentos presenciais e online, campanhas de conscientização e testes periódicos. Há também sistemas de monitoramento para comunicação eletrônica, gravação de chamadas e controles de acesso, reforçando o compromisso da IAM com a integridade, a transparência e a responsabilidade fiduciária.</w:t>
      </w:r>
    </w:p>
    <w:p w14:paraId="682CBBD7" w14:textId="77777777" w:rsidR="00C23D66" w:rsidRPr="00385677" w:rsidRDefault="00C23D66" w:rsidP="00EF0037">
      <w:pPr>
        <w:rPr>
          <w:b/>
          <w:bCs/>
          <w:color w:val="3B3B98"/>
        </w:rPr>
      </w:pPr>
    </w:p>
    <w:tbl>
      <w:tblPr>
        <w:tblStyle w:val="Tabelacomgrade"/>
        <w:tblW w:w="0" w:type="auto"/>
        <w:tblLook w:val="04A0" w:firstRow="1" w:lastRow="0" w:firstColumn="1" w:lastColumn="0" w:noHBand="0" w:noVBand="1"/>
      </w:tblPr>
      <w:tblGrid>
        <w:gridCol w:w="8494"/>
      </w:tblGrid>
      <w:tr w:rsidR="00385677" w:rsidRPr="00385677" w14:paraId="6FBCBADD" w14:textId="77777777" w:rsidTr="003804EF">
        <w:tc>
          <w:tcPr>
            <w:tcW w:w="8494" w:type="dxa"/>
          </w:tcPr>
          <w:p w14:paraId="1669B11F" w14:textId="77777777" w:rsidR="003804EF" w:rsidRPr="00385677" w:rsidRDefault="003804EF" w:rsidP="00232528">
            <w:pPr>
              <w:rPr>
                <w:b/>
                <w:bCs/>
                <w:color w:val="3B3B98"/>
              </w:rPr>
            </w:pPr>
            <w:r w:rsidRPr="00385677">
              <w:rPr>
                <w:b/>
                <w:bCs/>
                <w:color w:val="3B3B98"/>
              </w:rPr>
              <w:t>SOBRE AUSÊNCIA DE RESTRIÇÕES:</w:t>
            </w:r>
          </w:p>
        </w:tc>
      </w:tr>
    </w:tbl>
    <w:p w14:paraId="672955CC" w14:textId="35EDB2C8" w:rsidR="003804EF" w:rsidRDefault="00742783" w:rsidP="00EF0037">
      <w:pPr>
        <w:rPr>
          <w:color w:val="404040" w:themeColor="text1" w:themeTint="BF"/>
        </w:rPr>
      </w:pPr>
      <w:r>
        <w:rPr>
          <w:color w:val="404040" w:themeColor="text1" w:themeTint="BF"/>
        </w:rPr>
        <w:t>N/A.</w:t>
      </w:r>
    </w:p>
    <w:p w14:paraId="6F360829" w14:textId="77777777" w:rsidR="006A1CD7" w:rsidRPr="00B50007" w:rsidRDefault="006A1CD7" w:rsidP="00EF0037"/>
    <w:tbl>
      <w:tblPr>
        <w:tblStyle w:val="Tabelacomgrade"/>
        <w:tblW w:w="0" w:type="auto"/>
        <w:tblInd w:w="-5" w:type="dxa"/>
        <w:tblLook w:val="04A0" w:firstRow="1" w:lastRow="0" w:firstColumn="1" w:lastColumn="0" w:noHBand="0" w:noVBand="1"/>
      </w:tblPr>
      <w:tblGrid>
        <w:gridCol w:w="8499"/>
      </w:tblGrid>
      <w:tr w:rsidR="006E6BAD" w:rsidRPr="006E6BAD" w14:paraId="1D0B4D9A" w14:textId="77777777" w:rsidTr="0082059B">
        <w:tc>
          <w:tcPr>
            <w:tcW w:w="8499" w:type="dxa"/>
            <w:shd w:val="clear" w:color="auto" w:fill="3B3B98"/>
          </w:tcPr>
          <w:p w14:paraId="6F153E7E" w14:textId="4954942A" w:rsidR="006E6BAD" w:rsidRPr="00B50007" w:rsidRDefault="003804EF" w:rsidP="00B50007">
            <w:pPr>
              <w:rPr>
                <w:b/>
                <w:bCs/>
              </w:rPr>
            </w:pPr>
            <w:r w:rsidRPr="0082059B">
              <w:rPr>
                <w:b/>
                <w:bCs/>
                <w:color w:val="FFFFFF" w:themeColor="background1"/>
              </w:rPr>
              <w:t>ANÁLISE DO HISTÓRICO DE ATUAÇÃO DA INSTITUIÇÃO E DE SEUS CONTROLADORES.</w:t>
            </w:r>
          </w:p>
        </w:tc>
      </w:tr>
    </w:tbl>
    <w:p w14:paraId="47CCF959" w14:textId="49E820B9" w:rsidR="00742783" w:rsidRPr="00742783" w:rsidRDefault="00742783" w:rsidP="00742783">
      <w:pPr>
        <w:jc w:val="both"/>
        <w:rPr>
          <w:color w:val="404040" w:themeColor="text1" w:themeTint="BF"/>
        </w:rPr>
      </w:pPr>
      <w:r w:rsidRPr="00742783">
        <w:rPr>
          <w:color w:val="404040" w:themeColor="text1" w:themeTint="BF"/>
        </w:rPr>
        <w:t xml:space="preserve">A Itaú Unibanco </w:t>
      </w:r>
      <w:proofErr w:type="spellStart"/>
      <w:r w:rsidRPr="00742783">
        <w:rPr>
          <w:color w:val="404040" w:themeColor="text1" w:themeTint="BF"/>
        </w:rPr>
        <w:t>Asset</w:t>
      </w:r>
      <w:proofErr w:type="spellEnd"/>
      <w:r w:rsidRPr="00742783">
        <w:rPr>
          <w:color w:val="404040" w:themeColor="text1" w:themeTint="BF"/>
        </w:rPr>
        <w:t xml:space="preserve"> Management LTDA (IAM) é uma gestora com histórico consolidado de atuação no mercado brasileiro, mesmo tendo sido formalmente constituída como pessoa jurídica independente apenas em janeiro de 2021. A criação da IAM como empresa autônoma foi fruto de uma reestruturação estratégica do grupo Itaú Unibanco, que transferiu todas as atividades de gestão de fundos e carteiras que antes eram realizadas como uma unidade de negócios para uma nova empresa dedicada exclusivamente à gestão de recursos de terceiros.</w:t>
      </w:r>
    </w:p>
    <w:p w14:paraId="51086B4B" w14:textId="5DE8E00C" w:rsidR="00742783" w:rsidRPr="00742783" w:rsidRDefault="00742783" w:rsidP="00742783">
      <w:pPr>
        <w:jc w:val="both"/>
        <w:rPr>
          <w:color w:val="404040" w:themeColor="text1" w:themeTint="BF"/>
        </w:rPr>
      </w:pPr>
      <w:r w:rsidRPr="00742783">
        <w:rPr>
          <w:color w:val="404040" w:themeColor="text1" w:themeTint="BF"/>
        </w:rPr>
        <w:t xml:space="preserve">Apesar da “nova” razão social, a operação da IAM herda toda a experiência, a estrutura e o histórico da Itaú </w:t>
      </w:r>
      <w:proofErr w:type="spellStart"/>
      <w:r w:rsidRPr="00742783">
        <w:rPr>
          <w:color w:val="404040" w:themeColor="text1" w:themeTint="BF"/>
        </w:rPr>
        <w:t>Asset</w:t>
      </w:r>
      <w:proofErr w:type="spellEnd"/>
      <w:r w:rsidRPr="00742783">
        <w:rPr>
          <w:color w:val="404040" w:themeColor="text1" w:themeTint="BF"/>
        </w:rPr>
        <w:t xml:space="preserve"> Management, que já atuava há décadas no mercado como uma das maiores e mais premiadas gestoras do país. A equipe técnica, os processos, os sistemas de gestão e os critérios de compliance foram mantidos na transição, garantindo continuidade operacional e de desempenho. Por isso, diversos indicadores históricos apresentados no documento (como patrimônio, prêmios e estrutura de equipe) ainda fazem referência ao período anterior à constituição formal da IAM.</w:t>
      </w:r>
    </w:p>
    <w:p w14:paraId="3245969F" w14:textId="2A5D71F0" w:rsidR="00742783" w:rsidRPr="00742783" w:rsidRDefault="00742783" w:rsidP="00742783">
      <w:pPr>
        <w:jc w:val="both"/>
        <w:rPr>
          <w:color w:val="404040" w:themeColor="text1" w:themeTint="BF"/>
        </w:rPr>
      </w:pPr>
      <w:r w:rsidRPr="00742783">
        <w:rPr>
          <w:color w:val="404040" w:themeColor="text1" w:themeTint="BF"/>
        </w:rPr>
        <w:t xml:space="preserve">A IAM é 100% controlada pelo Itaú Unibanco S.A., instituição financeira com mais de 90 anos de história, listada em bolsa e sujeita à supervisão do Banco Central, CVM e outros </w:t>
      </w:r>
      <w:r w:rsidRPr="00742783">
        <w:rPr>
          <w:color w:val="404040" w:themeColor="text1" w:themeTint="BF"/>
        </w:rPr>
        <w:lastRenderedPageBreak/>
        <w:t>órgãos reguladores. O Itaú possui ampla atuação nos segmentos bancário, de seguros, investimentos e gestão de recursos, com um histórico reconhecido de solidez financeira, inovação e liderança no setor financeiro latino-americano. O fato de a IAM ser uma empresa do grupo Itaú agrega reputação, governança e estrutura robusta ao seu funcionamento.</w:t>
      </w:r>
    </w:p>
    <w:p w14:paraId="5367AF51" w14:textId="32B023E2" w:rsidR="00B50007" w:rsidRDefault="00742783" w:rsidP="00742783">
      <w:pPr>
        <w:jc w:val="both"/>
        <w:rPr>
          <w:color w:val="404040" w:themeColor="text1" w:themeTint="BF"/>
        </w:rPr>
      </w:pPr>
      <w:r w:rsidRPr="00742783">
        <w:rPr>
          <w:color w:val="404040" w:themeColor="text1" w:themeTint="BF"/>
        </w:rPr>
        <w:t>Ao longo dos últimos anos, a gestora tem mantido uma posição de liderança no mercado, com reconhecimento por parte de entidades como a ANBIMA, Revista Exame, e relatórios internacionais como o PRI (Princípios para Investimentos Responsáveis). Em 2023, a IAM encerrou o ano com R$ 878 bilhões em ativos sob gestão e mais de 1.400 portfólios geridos, evidenciando sua escala e capacidade de atuação junto a diferentes perfis de clientes institucionais e individuais.</w:t>
      </w:r>
    </w:p>
    <w:p w14:paraId="1F08D7AC" w14:textId="77777777" w:rsidR="006A1CD7" w:rsidRPr="00B50007" w:rsidRDefault="006A1CD7" w:rsidP="00CE1A54"/>
    <w:tbl>
      <w:tblPr>
        <w:tblStyle w:val="Tabelacomgrade"/>
        <w:tblW w:w="0" w:type="auto"/>
        <w:tblInd w:w="-5" w:type="dxa"/>
        <w:tblLook w:val="04A0" w:firstRow="1" w:lastRow="0" w:firstColumn="1" w:lastColumn="0" w:noHBand="0" w:noVBand="1"/>
      </w:tblPr>
      <w:tblGrid>
        <w:gridCol w:w="8499"/>
      </w:tblGrid>
      <w:tr w:rsidR="006E6BAD" w:rsidRPr="006E6BAD" w14:paraId="20432377" w14:textId="77777777" w:rsidTr="0082059B">
        <w:tc>
          <w:tcPr>
            <w:tcW w:w="8499" w:type="dxa"/>
            <w:shd w:val="clear" w:color="auto" w:fill="3B3B98"/>
          </w:tcPr>
          <w:p w14:paraId="60F48946" w14:textId="422CBCD2" w:rsidR="006E6BAD" w:rsidRPr="00B50007" w:rsidRDefault="003804EF" w:rsidP="00B50007">
            <w:pPr>
              <w:rPr>
                <w:b/>
                <w:bCs/>
              </w:rPr>
            </w:pPr>
            <w:r w:rsidRPr="0082059B">
              <w:rPr>
                <w:b/>
                <w:bCs/>
                <w:color w:val="FFFFFF" w:themeColor="background1"/>
              </w:rPr>
              <w:t>VERIFICAÇÃO DE EXPERIÊNCIA MÍNIMA DE 5 (CINCO) ANOS DE ATUAÇÃO.</w:t>
            </w:r>
          </w:p>
        </w:tc>
      </w:tr>
    </w:tbl>
    <w:p w14:paraId="31FFCD5F" w14:textId="77777777" w:rsidR="00742783" w:rsidRPr="00742783" w:rsidRDefault="00742783" w:rsidP="00742783">
      <w:pPr>
        <w:jc w:val="both"/>
        <w:rPr>
          <w:color w:val="404040" w:themeColor="text1" w:themeTint="BF"/>
        </w:rPr>
      </w:pPr>
      <w:r w:rsidRPr="00742783">
        <w:rPr>
          <w:color w:val="404040" w:themeColor="text1" w:themeTint="BF"/>
        </w:rPr>
        <w:t xml:space="preserve">Embora a Itaú Unibanco </w:t>
      </w:r>
      <w:proofErr w:type="spellStart"/>
      <w:r w:rsidRPr="00742783">
        <w:rPr>
          <w:color w:val="404040" w:themeColor="text1" w:themeTint="BF"/>
        </w:rPr>
        <w:t>Asset</w:t>
      </w:r>
      <w:proofErr w:type="spellEnd"/>
      <w:r w:rsidRPr="00742783">
        <w:rPr>
          <w:color w:val="404040" w:themeColor="text1" w:themeTint="BF"/>
        </w:rPr>
        <w:t xml:space="preserve"> Management LTDA (IAM) tenha sido formalmente constituída como empresa em janeiro de 2021, sua atuação no mercado de gestão de recursos tem origem muito anterior. A criação da IAM ocorreu por uma decisão estratégica do Itaú Unibanco S.A., que optou por migrar todas as atividades de gestão de fundos e carteiras administradas para uma nova empresa jurídica, com o objetivo de centralizar e especializar ainda mais essa operação.</w:t>
      </w:r>
    </w:p>
    <w:p w14:paraId="3D7679D9" w14:textId="77777777" w:rsidR="00742783" w:rsidRPr="00742783" w:rsidRDefault="00742783" w:rsidP="00742783">
      <w:pPr>
        <w:jc w:val="both"/>
        <w:rPr>
          <w:color w:val="404040" w:themeColor="text1" w:themeTint="BF"/>
        </w:rPr>
      </w:pPr>
      <w:r w:rsidRPr="00742783">
        <w:rPr>
          <w:color w:val="404040" w:themeColor="text1" w:themeTint="BF"/>
        </w:rPr>
        <w:t xml:space="preserve">Essa migração, porém, não representou o início das atividades de gestão, mas sim uma continuidade operacional com nova estrutura formal. A equipe, os processos, os sistemas de investimento, os controles internos e os ativos sob gestão foram integralmente transferidos da antiga unidade de negócios (Itaú </w:t>
      </w:r>
      <w:proofErr w:type="spellStart"/>
      <w:r w:rsidRPr="00742783">
        <w:rPr>
          <w:color w:val="404040" w:themeColor="text1" w:themeTint="BF"/>
        </w:rPr>
        <w:t>Asset</w:t>
      </w:r>
      <w:proofErr w:type="spellEnd"/>
      <w:r w:rsidRPr="00742783">
        <w:rPr>
          <w:color w:val="404040" w:themeColor="text1" w:themeTint="BF"/>
        </w:rPr>
        <w:t xml:space="preserve"> Management) para a IAM. Portanto, o histórico e a experiência da IAM se estendem muito além da sua data de constituição.</w:t>
      </w:r>
    </w:p>
    <w:p w14:paraId="052D467D" w14:textId="77777777" w:rsidR="00742783" w:rsidRPr="00742783" w:rsidRDefault="00742783" w:rsidP="00742783">
      <w:pPr>
        <w:jc w:val="both"/>
        <w:rPr>
          <w:color w:val="404040" w:themeColor="text1" w:themeTint="BF"/>
        </w:rPr>
      </w:pPr>
      <w:r w:rsidRPr="00742783">
        <w:rPr>
          <w:color w:val="404040" w:themeColor="text1" w:themeTint="BF"/>
        </w:rPr>
        <w:t>A atuação da gestora é respaldada pelo conglomerado Itaú Unibanco, que possui um histórico de mais de 20 anos na atividade de gestão profissional de recursos de terceiros. No próprio questionário da ANBIMA, a IAM informa que seus dados históricos (como prêmios, volume sob gestão, estrutura de equipe e ratings) são mantidos com base na atuação contínua da mesma equipe, mesmo antes da formalização como pessoa jurídica autônoma.</w:t>
      </w:r>
    </w:p>
    <w:p w14:paraId="34F5D5EB" w14:textId="77777777" w:rsidR="00742783" w:rsidRPr="00742783" w:rsidRDefault="00742783" w:rsidP="00742783">
      <w:pPr>
        <w:jc w:val="both"/>
        <w:rPr>
          <w:color w:val="404040" w:themeColor="text1" w:themeTint="BF"/>
        </w:rPr>
      </w:pPr>
      <w:r w:rsidRPr="00742783">
        <w:rPr>
          <w:color w:val="404040" w:themeColor="text1" w:themeTint="BF"/>
        </w:rPr>
        <w:t>Assim, mesmo que juridicamente a IAM tenha menos de cinco anos, a sua operação cumpre plenamente o requisito de experiência mínima de cinco anos na atividade de gestão, uma vez que atua como sucessora direta da estrutura de gestão de ativos do Itaú Unibanco, mantendo inalterado seu know-how, governança e práticas operacionais. Esse entendimento é amplamente aceito no mercado e reconhecido por órgãos reguladores e autorreguladores, como CVM e ANBIMA.</w:t>
      </w:r>
    </w:p>
    <w:p w14:paraId="19D80DE1" w14:textId="77777777" w:rsidR="0076728C" w:rsidRDefault="0076728C" w:rsidP="00CE1A54">
      <w:pPr>
        <w:rPr>
          <w:color w:val="3B3B98"/>
        </w:rPr>
      </w:pPr>
    </w:p>
    <w:tbl>
      <w:tblPr>
        <w:tblStyle w:val="Tabelacomgrade"/>
        <w:tblW w:w="0" w:type="auto"/>
        <w:tblInd w:w="-5" w:type="dxa"/>
        <w:tblLook w:val="04A0" w:firstRow="1" w:lastRow="0" w:firstColumn="1" w:lastColumn="0" w:noHBand="0" w:noVBand="1"/>
      </w:tblPr>
      <w:tblGrid>
        <w:gridCol w:w="8499"/>
      </w:tblGrid>
      <w:tr w:rsidR="003D15B4" w:rsidRPr="006E6BAD" w14:paraId="4E6996D3" w14:textId="77777777" w:rsidTr="00B644AB">
        <w:tc>
          <w:tcPr>
            <w:tcW w:w="8499" w:type="dxa"/>
            <w:shd w:val="clear" w:color="auto" w:fill="3B3B98"/>
          </w:tcPr>
          <w:p w14:paraId="2E3BFD1A" w14:textId="77777777" w:rsidR="003D15B4" w:rsidRPr="00B50007" w:rsidRDefault="003D15B4" w:rsidP="00B644AB">
            <w:pPr>
              <w:rPr>
                <w:b/>
                <w:bCs/>
              </w:rPr>
            </w:pPr>
            <w:r>
              <w:rPr>
                <w:b/>
                <w:bCs/>
                <w:color w:val="FFFFFF" w:themeColor="background1"/>
              </w:rPr>
              <w:t>PRINCIPAIS CATEGORIAS DE PRODUTOS OFERTADOS</w:t>
            </w:r>
          </w:p>
        </w:tc>
      </w:tr>
    </w:tbl>
    <w:p w14:paraId="2BF0F7F6" w14:textId="77777777" w:rsidR="00742783" w:rsidRPr="00742783" w:rsidRDefault="00742783" w:rsidP="00742783">
      <w:pPr>
        <w:jc w:val="both"/>
        <w:rPr>
          <w:color w:val="404040" w:themeColor="text1" w:themeTint="BF"/>
        </w:rPr>
      </w:pPr>
      <w:r w:rsidRPr="00742783">
        <w:rPr>
          <w:color w:val="404040" w:themeColor="text1" w:themeTint="BF"/>
        </w:rPr>
        <w:t xml:space="preserve">A principal categoria sob gestão da IAM é a renda fixa, que representa cerca de 53% dos ativos sob gestão, segundo dados mais recentes apresentados no questionário ANBIMA. Nessa categoria, estão incluídos fundos com diferentes estratégias — desde os mais conservadores, como os referenciados no CDI, até fundos com papéis de crédito privado, </w:t>
      </w:r>
      <w:r w:rsidRPr="00742783">
        <w:rPr>
          <w:color w:val="404040" w:themeColor="text1" w:themeTint="BF"/>
        </w:rPr>
        <w:lastRenderedPageBreak/>
        <w:t>debêntures incentivadas e títulos indexados à inflação. A IAM também possui fundos de renda fixa com diferentes durações e perfis de risco, incluindo fundos previdenciários.</w:t>
      </w:r>
    </w:p>
    <w:p w14:paraId="56655475" w14:textId="77777777" w:rsidR="00742783" w:rsidRPr="00742783" w:rsidRDefault="00742783" w:rsidP="00742783">
      <w:pPr>
        <w:jc w:val="both"/>
        <w:rPr>
          <w:color w:val="404040" w:themeColor="text1" w:themeTint="BF"/>
        </w:rPr>
      </w:pPr>
      <w:r w:rsidRPr="00742783">
        <w:rPr>
          <w:color w:val="404040" w:themeColor="text1" w:themeTint="BF"/>
        </w:rPr>
        <w:t xml:space="preserve">Os fundos multimercados representam aproximadamente 17% do portfólio e são oferecidos com estratégias diversas, incluindo alocação tática, retorno absoluto, macro, </w:t>
      </w:r>
      <w:proofErr w:type="spellStart"/>
      <w:r w:rsidRPr="00742783">
        <w:rPr>
          <w:color w:val="404040" w:themeColor="text1" w:themeTint="BF"/>
        </w:rPr>
        <w:t>long</w:t>
      </w:r>
      <w:proofErr w:type="spellEnd"/>
      <w:r w:rsidRPr="00742783">
        <w:rPr>
          <w:color w:val="404040" w:themeColor="text1" w:themeTint="BF"/>
        </w:rPr>
        <w:t xml:space="preserve"> &amp; short, e sistemáticos. Esses fundos se destacam por combinar diferentes classes de ativos (juros, câmbio, ações e commodities) com liberdade para se posicionar de forma direcional ou neutra, buscando maior descorrelação com os benchmarks tradicionais e agregando valor em diferentes cenários de mercado.</w:t>
      </w:r>
    </w:p>
    <w:p w14:paraId="0B829EEF" w14:textId="67933F43" w:rsidR="0076728C" w:rsidRPr="00742783" w:rsidRDefault="00742783" w:rsidP="00742783">
      <w:pPr>
        <w:jc w:val="both"/>
        <w:rPr>
          <w:color w:val="404040" w:themeColor="text1" w:themeTint="BF"/>
        </w:rPr>
      </w:pPr>
      <w:r w:rsidRPr="00742783">
        <w:rPr>
          <w:color w:val="404040" w:themeColor="text1" w:themeTint="BF"/>
        </w:rPr>
        <w:t>Em renda variável, a IAM oferece fundos com foco em ações brasileiras e internacionais, incluindo estratégias ativas e passivas. Essa categoria representa cerca de 4,8% da carteira. Há também fundos de índice (</w:t>
      </w:r>
      <w:proofErr w:type="spellStart"/>
      <w:r w:rsidRPr="00742783">
        <w:rPr>
          <w:color w:val="404040" w:themeColor="text1" w:themeTint="BF"/>
        </w:rPr>
        <w:t>ETFs</w:t>
      </w:r>
      <w:proofErr w:type="spellEnd"/>
      <w:r w:rsidRPr="00742783">
        <w:rPr>
          <w:color w:val="404040" w:themeColor="text1" w:themeTint="BF"/>
        </w:rPr>
        <w:t>), fundos temáticos e quantitativos, além de produtos voltados para o longo prazo e a previdência. Complementando o portfólio, a IAM também administra fundos de FIDC (0,57%), FII (0,23%), FIP (0,04%) e cambiais (0,24%), além de fundos classificados como "outras categorias", que representam 23% e incluem principalmente produtos previdenciários e soluções personalizadas para clientes institucionais e alta renda.</w:t>
      </w:r>
    </w:p>
    <w:p w14:paraId="0C13C029" w14:textId="77777777" w:rsidR="0076728C" w:rsidRPr="00385677" w:rsidRDefault="0076728C" w:rsidP="00CE1A54">
      <w:pPr>
        <w:rPr>
          <w:color w:val="3B3B98"/>
        </w:rPr>
      </w:pPr>
    </w:p>
    <w:tbl>
      <w:tblPr>
        <w:tblStyle w:val="Tabelacomgrade"/>
        <w:tblW w:w="0" w:type="auto"/>
        <w:tblInd w:w="-5" w:type="dxa"/>
        <w:tblLook w:val="04A0" w:firstRow="1" w:lastRow="0" w:firstColumn="1" w:lastColumn="0" w:noHBand="0" w:noVBand="1"/>
      </w:tblPr>
      <w:tblGrid>
        <w:gridCol w:w="8499"/>
      </w:tblGrid>
      <w:tr w:rsidR="006E6BAD" w:rsidRPr="006E6BAD" w14:paraId="25B3B00E" w14:textId="77777777" w:rsidTr="0082059B">
        <w:tc>
          <w:tcPr>
            <w:tcW w:w="8499" w:type="dxa"/>
            <w:shd w:val="clear" w:color="auto" w:fill="3B3B98"/>
          </w:tcPr>
          <w:p w14:paraId="14C00605" w14:textId="0C2352D0" w:rsidR="006E6BAD" w:rsidRPr="00B50007" w:rsidRDefault="003804EF" w:rsidP="00B50007">
            <w:pPr>
              <w:rPr>
                <w:b/>
                <w:bCs/>
              </w:rPr>
            </w:pPr>
            <w:r w:rsidRPr="0082059B">
              <w:rPr>
                <w:b/>
                <w:bCs/>
                <w:color w:val="FFFFFF" w:themeColor="background1"/>
              </w:rPr>
              <w:t xml:space="preserve">ANÁLISE DE VOLUME DE RECURSOS SOB SUA GESTÃO E ADMINISTRAÇÃO, DA QUALIFICAÇÃO </w:t>
            </w:r>
            <w:r w:rsidRPr="0082059B">
              <w:rPr>
                <w:b/>
                <w:bCs/>
                <w:color w:val="FFFFFF" w:themeColor="background1"/>
                <w:shd w:val="clear" w:color="auto" w:fill="3B3B98"/>
              </w:rPr>
              <w:t>DO CORPO</w:t>
            </w:r>
            <w:r w:rsidRPr="0082059B">
              <w:rPr>
                <w:b/>
                <w:bCs/>
                <w:color w:val="FFFFFF" w:themeColor="background1"/>
              </w:rPr>
              <w:t xml:space="preserve"> TÉCNICO E DA SEGREGAÇÃO DE ATIVIDADES.</w:t>
            </w:r>
          </w:p>
        </w:tc>
      </w:tr>
      <w:tr w:rsidR="00385677" w:rsidRPr="00385677" w14:paraId="60129078" w14:textId="77777777" w:rsidTr="00074CF2">
        <w:tc>
          <w:tcPr>
            <w:tcW w:w="8499" w:type="dxa"/>
          </w:tcPr>
          <w:p w14:paraId="0217A49B" w14:textId="77777777" w:rsidR="003804EF" w:rsidRPr="00385677" w:rsidRDefault="003804EF" w:rsidP="00317B64">
            <w:pPr>
              <w:rPr>
                <w:b/>
                <w:bCs/>
                <w:color w:val="3B3B98"/>
              </w:rPr>
            </w:pPr>
            <w:r w:rsidRPr="00385677">
              <w:rPr>
                <w:b/>
                <w:bCs/>
                <w:color w:val="3B3B98"/>
              </w:rPr>
              <w:t>SOBRE VOLUME DE RECURSOS:</w:t>
            </w:r>
          </w:p>
        </w:tc>
      </w:tr>
    </w:tbl>
    <w:p w14:paraId="724AA09F" w14:textId="7036D1EB" w:rsidR="0076728C" w:rsidRDefault="00693400" w:rsidP="00693400">
      <w:pPr>
        <w:jc w:val="both"/>
        <w:rPr>
          <w:color w:val="404040" w:themeColor="text1" w:themeTint="BF"/>
        </w:rPr>
      </w:pPr>
      <w:r w:rsidRPr="00693400">
        <w:rPr>
          <w:color w:val="404040" w:themeColor="text1" w:themeTint="BF"/>
        </w:rPr>
        <w:t xml:space="preserve">Conforme consta </w:t>
      </w:r>
      <w:r>
        <w:rPr>
          <w:color w:val="404040" w:themeColor="text1" w:themeTint="BF"/>
        </w:rPr>
        <w:t>na do</w:t>
      </w:r>
      <w:r w:rsidRPr="00693400">
        <w:rPr>
          <w:color w:val="404040" w:themeColor="text1" w:themeTint="BF"/>
        </w:rPr>
        <w:t xml:space="preserve">, a Itaú Unibanco </w:t>
      </w:r>
      <w:proofErr w:type="spellStart"/>
      <w:r w:rsidRPr="00693400">
        <w:rPr>
          <w:color w:val="404040" w:themeColor="text1" w:themeTint="BF"/>
        </w:rPr>
        <w:t>Asset</w:t>
      </w:r>
      <w:proofErr w:type="spellEnd"/>
      <w:r w:rsidRPr="00693400">
        <w:rPr>
          <w:color w:val="404040" w:themeColor="text1" w:themeTint="BF"/>
        </w:rPr>
        <w:t xml:space="preserve"> Management LTDA (IAM) encerrou 2023 com um volume total de R$ 878 bilhões sob gestão, distribuídos em 1.448 portfólios, o que a posiciona entre as maiores gestoras de recursos do Brasil. Esse montante expressivo reflete a confiança do mercado na solidez da instituição, que oferece uma ampla gama de produtos para diferentes perfis de investidores — desde clientes institucionais e fundos de previdência até investidores de varejo e alta renda. A IAM também se destaca por sua presença significativa nos segmentos de renda fixa (53% do total), multimercado (17%) e ações (4,8%).</w:t>
      </w:r>
    </w:p>
    <w:p w14:paraId="64EA9250" w14:textId="77777777" w:rsidR="00693400" w:rsidRPr="00385677" w:rsidRDefault="00693400" w:rsidP="00693400">
      <w:pPr>
        <w:jc w:val="both"/>
        <w:rPr>
          <w:color w:val="404040" w:themeColor="text1" w:themeTint="BF"/>
        </w:rPr>
      </w:pPr>
    </w:p>
    <w:tbl>
      <w:tblPr>
        <w:tblStyle w:val="Tabelacomgrade"/>
        <w:tblW w:w="0" w:type="auto"/>
        <w:tblLook w:val="04A0" w:firstRow="1" w:lastRow="0" w:firstColumn="1" w:lastColumn="0" w:noHBand="0" w:noVBand="1"/>
      </w:tblPr>
      <w:tblGrid>
        <w:gridCol w:w="8494"/>
      </w:tblGrid>
      <w:tr w:rsidR="00385677" w:rsidRPr="00385677" w14:paraId="4FCAEB13" w14:textId="77777777" w:rsidTr="003804EF">
        <w:tc>
          <w:tcPr>
            <w:tcW w:w="8494" w:type="dxa"/>
          </w:tcPr>
          <w:p w14:paraId="6A516635" w14:textId="77777777" w:rsidR="003804EF" w:rsidRPr="00385677" w:rsidRDefault="003804EF" w:rsidP="009A5292">
            <w:pPr>
              <w:rPr>
                <w:b/>
                <w:bCs/>
                <w:color w:val="404040" w:themeColor="text1" w:themeTint="BF"/>
              </w:rPr>
            </w:pPr>
            <w:r w:rsidRPr="00385677">
              <w:rPr>
                <w:b/>
                <w:bCs/>
                <w:color w:val="3B3B98"/>
              </w:rPr>
              <w:t xml:space="preserve">SOBRE QUALIFICAÇÃO DO CORPO TÉCNICO: </w:t>
            </w:r>
          </w:p>
        </w:tc>
      </w:tr>
    </w:tbl>
    <w:p w14:paraId="471DC1F1" w14:textId="1EE2F8C5" w:rsidR="00993D82" w:rsidRPr="00993D82" w:rsidRDefault="00993D82" w:rsidP="00993D82">
      <w:pPr>
        <w:jc w:val="both"/>
        <w:rPr>
          <w:color w:val="404040" w:themeColor="text1" w:themeTint="BF"/>
        </w:rPr>
      </w:pPr>
      <w:r w:rsidRPr="00993D82">
        <w:rPr>
          <w:color w:val="404040" w:themeColor="text1" w:themeTint="BF"/>
        </w:rPr>
        <w:t xml:space="preserve">A qualificação do corpo técnico da Itaú </w:t>
      </w:r>
      <w:proofErr w:type="spellStart"/>
      <w:r w:rsidRPr="00993D82">
        <w:rPr>
          <w:color w:val="404040" w:themeColor="text1" w:themeTint="BF"/>
        </w:rPr>
        <w:t>Asset</w:t>
      </w:r>
      <w:proofErr w:type="spellEnd"/>
      <w:r w:rsidRPr="00993D82">
        <w:rPr>
          <w:color w:val="404040" w:themeColor="text1" w:themeTint="BF"/>
        </w:rPr>
        <w:t xml:space="preserve"> Management (IAM) está estruturada em uma equipe numerosa e diversificada, composta por 305 profissionais em 2023. A gestora disponibilizou os currículos de seus principais colaboradores, demonstrando a experiência acumulada no setor financeiro e a formação acadêmica de parte significativa da equipe, que inclui pós-graduações e doutorados em instituições reconhecidas. A avaliação de desempenho dos gestores é realizada com base em critérios objetivos, como metas de rentabilidade, aderência a benchmarks e comparação com fundos similares no mercado.</w:t>
      </w:r>
    </w:p>
    <w:p w14:paraId="0AC2B086" w14:textId="5027B8A2" w:rsidR="00993D82" w:rsidRPr="00993D82" w:rsidRDefault="00993D82" w:rsidP="00993D82">
      <w:pPr>
        <w:jc w:val="both"/>
        <w:rPr>
          <w:color w:val="404040" w:themeColor="text1" w:themeTint="BF"/>
        </w:rPr>
      </w:pPr>
      <w:r w:rsidRPr="00993D82">
        <w:rPr>
          <w:color w:val="404040" w:themeColor="text1" w:themeTint="BF"/>
        </w:rPr>
        <w:t xml:space="preserve">Para retenção e desenvolvimento de talentos, a IAM adota um modelo de remuneração variável atrelado ao desempenho individual, da unidade de negócio e da empresa. Complementarmente, oferece programas estruturados de capacitação por meio da "Academia </w:t>
      </w:r>
      <w:proofErr w:type="spellStart"/>
      <w:r w:rsidRPr="00993D82">
        <w:rPr>
          <w:color w:val="404040" w:themeColor="text1" w:themeTint="BF"/>
        </w:rPr>
        <w:t>Asset</w:t>
      </w:r>
      <w:proofErr w:type="spellEnd"/>
      <w:r w:rsidRPr="00993D82">
        <w:rPr>
          <w:color w:val="404040" w:themeColor="text1" w:themeTint="BF"/>
        </w:rPr>
        <w:t>", que inclui formação técnica, cursos de especialização, programas de certificação e iniciativas voltadas à mobilidade interna e internacional. Essas ações visam proporcionar oportunidades de aperfeiçoamento contínuo e alinhamento às exigências regulatórias e de mercado.</w:t>
      </w:r>
    </w:p>
    <w:p w14:paraId="69FAC531" w14:textId="77777777" w:rsidR="00993D82" w:rsidRPr="00993D82" w:rsidRDefault="00993D82" w:rsidP="00993D82">
      <w:pPr>
        <w:jc w:val="both"/>
        <w:rPr>
          <w:color w:val="404040" w:themeColor="text1" w:themeTint="BF"/>
        </w:rPr>
      </w:pPr>
      <w:r w:rsidRPr="00993D82">
        <w:rPr>
          <w:color w:val="404040" w:themeColor="text1" w:themeTint="BF"/>
        </w:rPr>
        <w:lastRenderedPageBreak/>
        <w:t>Além disso, a IAM mantém processos formais relacionados à conduta profissional, com políticas de compliance e treinamentos periódicos sobre Prevenção à Lavagem de Dinheiro e práticas irregulares de mercado. O ambiente de trabalho é estruturado para promover a integração entre áreas técnicas como análise econômica, gestão e pesquisa, buscando apoiar decisões de investimento fundamentadas em metodologias estabelecidas.</w:t>
      </w:r>
    </w:p>
    <w:p w14:paraId="44006F47" w14:textId="77777777" w:rsidR="0076728C" w:rsidRPr="00385677" w:rsidRDefault="0076728C" w:rsidP="00C54188">
      <w:pPr>
        <w:rPr>
          <w:b/>
          <w:bCs/>
          <w:color w:val="404040" w:themeColor="text1" w:themeTint="BF"/>
        </w:rPr>
      </w:pPr>
    </w:p>
    <w:tbl>
      <w:tblPr>
        <w:tblStyle w:val="Tabelacomgrade"/>
        <w:tblW w:w="0" w:type="auto"/>
        <w:tblLook w:val="04A0" w:firstRow="1" w:lastRow="0" w:firstColumn="1" w:lastColumn="0" w:noHBand="0" w:noVBand="1"/>
      </w:tblPr>
      <w:tblGrid>
        <w:gridCol w:w="8494"/>
      </w:tblGrid>
      <w:tr w:rsidR="00385677" w:rsidRPr="00385677" w14:paraId="59D50E52" w14:textId="77777777" w:rsidTr="003804EF">
        <w:tc>
          <w:tcPr>
            <w:tcW w:w="8494" w:type="dxa"/>
          </w:tcPr>
          <w:p w14:paraId="0C314948" w14:textId="77777777" w:rsidR="003804EF" w:rsidRPr="00385677" w:rsidRDefault="003804EF" w:rsidP="00EA63EB">
            <w:pPr>
              <w:rPr>
                <w:b/>
                <w:bCs/>
                <w:color w:val="404040" w:themeColor="text1" w:themeTint="BF"/>
              </w:rPr>
            </w:pPr>
            <w:r w:rsidRPr="00385677">
              <w:rPr>
                <w:b/>
                <w:bCs/>
                <w:color w:val="3B3B98"/>
              </w:rPr>
              <w:t>SOBRE SEGREGAÇÃO DE ATIVIDADES:</w:t>
            </w:r>
          </w:p>
        </w:tc>
      </w:tr>
    </w:tbl>
    <w:p w14:paraId="3D37B443" w14:textId="5455C476" w:rsidR="00993D82" w:rsidRPr="00993D82" w:rsidRDefault="00074CF2" w:rsidP="00993D82">
      <w:pPr>
        <w:jc w:val="both"/>
        <w:rPr>
          <w:color w:val="404040" w:themeColor="text1" w:themeTint="BF"/>
        </w:rPr>
      </w:pPr>
      <w:r w:rsidRPr="00385677">
        <w:rPr>
          <w:color w:val="404040" w:themeColor="text1" w:themeTint="BF"/>
        </w:rPr>
        <w:t xml:space="preserve"> </w:t>
      </w:r>
      <w:r w:rsidR="00993D82" w:rsidRPr="00993D82">
        <w:rPr>
          <w:color w:val="404040" w:themeColor="text1" w:themeTint="BF"/>
        </w:rPr>
        <w:t xml:space="preserve">A Itaú </w:t>
      </w:r>
      <w:proofErr w:type="spellStart"/>
      <w:r w:rsidR="00993D82" w:rsidRPr="00993D82">
        <w:rPr>
          <w:color w:val="404040" w:themeColor="text1" w:themeTint="BF"/>
        </w:rPr>
        <w:t>Asset</w:t>
      </w:r>
      <w:proofErr w:type="spellEnd"/>
      <w:r w:rsidR="00993D82" w:rsidRPr="00993D82">
        <w:rPr>
          <w:color w:val="404040" w:themeColor="text1" w:themeTint="BF"/>
        </w:rPr>
        <w:t xml:space="preserve"> Management (IAM) adota uma estrutura de segregação de atividades conforme as diretrizes internas do conglomerado Itaú Unibanco, com o objetivo de garantir a independência entre as áreas de gestão de recursos e demais atividades relacionadas ao mercado de capitais. A empresa que presta serviços de administração fiduciária, custódia, controladoria e distribuição é separada estruturalmente da IAM, operando com um </w:t>
      </w:r>
      <w:proofErr w:type="spellStart"/>
      <w:r w:rsidR="00993D82" w:rsidRPr="00993D82">
        <w:rPr>
          <w:color w:val="404040" w:themeColor="text1" w:themeTint="BF"/>
        </w:rPr>
        <w:t>back</w:t>
      </w:r>
      <w:proofErr w:type="spellEnd"/>
      <w:r w:rsidR="00993D82" w:rsidRPr="00993D82">
        <w:rPr>
          <w:color w:val="404040" w:themeColor="text1" w:themeTint="BF"/>
        </w:rPr>
        <w:t xml:space="preserve"> office próprio e sistemas distintos. Essa separação visa proteger informações confidenciais, evitar conflitos de interesse e assegurar que cada equipe atue de forma independente, conforme suas atribuições.</w:t>
      </w:r>
    </w:p>
    <w:p w14:paraId="7C21368A" w14:textId="1D0B44A9" w:rsidR="00C54188" w:rsidRDefault="00993D82" w:rsidP="00993D82">
      <w:pPr>
        <w:jc w:val="both"/>
        <w:rPr>
          <w:color w:val="404040" w:themeColor="text1" w:themeTint="BF"/>
        </w:rPr>
      </w:pPr>
      <w:r w:rsidRPr="00993D82">
        <w:rPr>
          <w:color w:val="404040" w:themeColor="text1" w:themeTint="BF"/>
        </w:rPr>
        <w:t>A segregação é formalizada na Política de Segregação de Atividades do Itaú Unibanco (PR-71), que estabelece princípios como o uso restrito de informações confidenciais, proibição de acesso não autorizado a áreas e sistemas segregados, e vedação ao uso de informação privilegiada. O cumprimento dessa política é monitorado continuamente, e quaisquer alterações relevantes na estrutura organizacional ou processos que possam impactar a segregação devem ser previamente comunicadas à área de compliance. Esse modelo é parte integrante do sistema de controle interno e governança adotado pela instituição.</w:t>
      </w:r>
    </w:p>
    <w:p w14:paraId="437E7B88" w14:textId="77777777" w:rsidR="00C31260" w:rsidRPr="00385677" w:rsidRDefault="00C31260" w:rsidP="00C54188">
      <w:pPr>
        <w:rPr>
          <w:color w:val="404040" w:themeColor="text1" w:themeTint="BF"/>
        </w:rPr>
      </w:pPr>
    </w:p>
    <w:tbl>
      <w:tblPr>
        <w:tblStyle w:val="Tabelacomgrade"/>
        <w:tblW w:w="0" w:type="auto"/>
        <w:tblLook w:val="04A0" w:firstRow="1" w:lastRow="0" w:firstColumn="1" w:lastColumn="0" w:noHBand="0" w:noVBand="1"/>
      </w:tblPr>
      <w:tblGrid>
        <w:gridCol w:w="8494"/>
      </w:tblGrid>
      <w:tr w:rsidR="00BA026F" w:rsidRPr="00385677" w14:paraId="1E27EC98" w14:textId="77777777" w:rsidTr="00B644AB">
        <w:tc>
          <w:tcPr>
            <w:tcW w:w="8494" w:type="dxa"/>
          </w:tcPr>
          <w:p w14:paraId="7109C06C" w14:textId="77777777" w:rsidR="00BA026F" w:rsidRPr="00385677" w:rsidRDefault="00BA026F" w:rsidP="00B644AB">
            <w:pPr>
              <w:rPr>
                <w:b/>
                <w:bCs/>
                <w:color w:val="404040" w:themeColor="text1" w:themeTint="BF"/>
              </w:rPr>
            </w:pPr>
            <w:r w:rsidRPr="00385677">
              <w:rPr>
                <w:b/>
                <w:bCs/>
                <w:color w:val="3B3B98"/>
              </w:rPr>
              <w:t xml:space="preserve">SOBRE </w:t>
            </w:r>
            <w:r>
              <w:rPr>
                <w:b/>
                <w:bCs/>
                <w:color w:val="3B3B98"/>
              </w:rPr>
              <w:t>REGULARIDADE FISCAL E PREVIDENCIÁRIA</w:t>
            </w:r>
            <w:r w:rsidRPr="00385677">
              <w:rPr>
                <w:b/>
                <w:bCs/>
                <w:color w:val="3B3B98"/>
              </w:rPr>
              <w:t>:</w:t>
            </w:r>
          </w:p>
        </w:tc>
      </w:tr>
    </w:tbl>
    <w:p w14:paraId="32A850D2" w14:textId="789D7224" w:rsidR="003804EF" w:rsidRDefault="00993D82" w:rsidP="00993D82">
      <w:pPr>
        <w:jc w:val="both"/>
        <w:rPr>
          <w:color w:val="404040" w:themeColor="text1" w:themeTint="BF"/>
        </w:rPr>
      </w:pPr>
      <w:r w:rsidRPr="00993D82">
        <w:rPr>
          <w:color w:val="404040" w:themeColor="text1" w:themeTint="BF"/>
        </w:rPr>
        <w:t xml:space="preserve">A Itaú </w:t>
      </w:r>
      <w:proofErr w:type="spellStart"/>
      <w:r w:rsidRPr="00993D82">
        <w:rPr>
          <w:color w:val="404040" w:themeColor="text1" w:themeTint="BF"/>
        </w:rPr>
        <w:t>Asset</w:t>
      </w:r>
      <w:proofErr w:type="spellEnd"/>
      <w:r w:rsidRPr="00993D82">
        <w:rPr>
          <w:color w:val="404040" w:themeColor="text1" w:themeTint="BF"/>
        </w:rPr>
        <w:t xml:space="preserve"> Management (IAM) declara estar em conformidade com todas as suas obrigações fiscais, previdenciárias e trabalhistas, conforme exigido pela legislação brasileira. A instituição informa manter sua documentação fiscal atualizada e disponível para apresentação, quando solicitada, o que inclui certidões negativas de débitos junto à Receita Federal, INSS, FGTS e demais órgãos competentes. Essa regularidade reflete o compromisso da gestora com a observância das normas legais e regulatórias aplicáveis à sua atuação no mercado financeiro.</w:t>
      </w:r>
    </w:p>
    <w:p w14:paraId="400F5CA2" w14:textId="77777777" w:rsidR="00C31260" w:rsidRPr="00B50007" w:rsidRDefault="00C31260" w:rsidP="00C54188"/>
    <w:tbl>
      <w:tblPr>
        <w:tblStyle w:val="Tabelacomgrade"/>
        <w:tblW w:w="0" w:type="auto"/>
        <w:tblInd w:w="-5" w:type="dxa"/>
        <w:tblLook w:val="04A0" w:firstRow="1" w:lastRow="0" w:firstColumn="1" w:lastColumn="0" w:noHBand="0" w:noVBand="1"/>
      </w:tblPr>
      <w:tblGrid>
        <w:gridCol w:w="8499"/>
      </w:tblGrid>
      <w:tr w:rsidR="006E6BAD" w:rsidRPr="006E6BAD" w14:paraId="48A4C6C6" w14:textId="77777777" w:rsidTr="0082059B">
        <w:tc>
          <w:tcPr>
            <w:tcW w:w="8499" w:type="dxa"/>
            <w:shd w:val="clear" w:color="auto" w:fill="3B3B98"/>
          </w:tcPr>
          <w:p w14:paraId="526004CB" w14:textId="73E6F4DF" w:rsidR="006E6BAD" w:rsidRPr="00B50007" w:rsidRDefault="003804EF" w:rsidP="00B50007">
            <w:pPr>
              <w:rPr>
                <w:b/>
                <w:bCs/>
              </w:rPr>
            </w:pPr>
            <w:r w:rsidRPr="0082059B">
              <w:rPr>
                <w:b/>
                <w:bCs/>
                <w:color w:val="FFFFFF" w:themeColor="background1"/>
              </w:rPr>
              <w:t>AVALIAÇÃO DA ADERÊNCIA DA RENTABILIDADE AOS INDICADORES DE DESEMPENHO E RISCOS ASSUMIDOS PELOS FUNDOS SOB SUA GESTÃO E ADMINISTRAÇÃO, NO PERÍODO MÍNIMO DE 2 (DOIS) ANOS ANTERIORES AO CREDENCIAMENTO</w:t>
            </w:r>
          </w:p>
        </w:tc>
      </w:tr>
    </w:tbl>
    <w:p w14:paraId="1B39A3E4" w14:textId="7CC1CAF3" w:rsidR="00993D82" w:rsidRPr="00993D82" w:rsidRDefault="00993D82" w:rsidP="00993D82">
      <w:pPr>
        <w:jc w:val="both"/>
        <w:rPr>
          <w:color w:val="404040" w:themeColor="text1" w:themeTint="BF"/>
        </w:rPr>
      </w:pPr>
      <w:r w:rsidRPr="00993D82">
        <w:rPr>
          <w:color w:val="404040" w:themeColor="text1" w:themeTint="BF"/>
        </w:rPr>
        <w:t xml:space="preserve">A Itaú </w:t>
      </w:r>
      <w:proofErr w:type="spellStart"/>
      <w:r w:rsidRPr="00993D82">
        <w:rPr>
          <w:color w:val="404040" w:themeColor="text1" w:themeTint="BF"/>
        </w:rPr>
        <w:t>Asset</w:t>
      </w:r>
      <w:proofErr w:type="spellEnd"/>
      <w:r w:rsidRPr="00993D82">
        <w:rPr>
          <w:color w:val="404040" w:themeColor="text1" w:themeTint="BF"/>
        </w:rPr>
        <w:t xml:space="preserve"> Management (IAM) realiza o monitoramento sistemático da aderência entre a rentabilidade dos fundos sob sua gestão e os indicadores de desempenho e risco previamente definidos em seus respectivos mandatos. A avaliação considera, entre outros critérios, o atingimento das metas de retorno, a comparação com benchmarks estabelecidos (quando aplicável), e a relação risco-retorno observada em cada estratégia. Nos fundos com referência a índices, é verificada a proximidade entre o desempenho do fundo e seu indicador de referência, enquanto nos fundos com mandato ativo, utiliza-se análise comparativa com </w:t>
      </w:r>
      <w:proofErr w:type="spellStart"/>
      <w:r w:rsidRPr="00993D82">
        <w:rPr>
          <w:color w:val="404040" w:themeColor="text1" w:themeTint="BF"/>
        </w:rPr>
        <w:t>peer</w:t>
      </w:r>
      <w:proofErr w:type="spellEnd"/>
      <w:r w:rsidRPr="00993D82">
        <w:rPr>
          <w:color w:val="404040" w:themeColor="text1" w:themeTint="BF"/>
        </w:rPr>
        <w:t xml:space="preserve"> </w:t>
      </w:r>
      <w:proofErr w:type="spellStart"/>
      <w:r w:rsidRPr="00993D82">
        <w:rPr>
          <w:color w:val="404040" w:themeColor="text1" w:themeTint="BF"/>
        </w:rPr>
        <w:t>groups</w:t>
      </w:r>
      <w:proofErr w:type="spellEnd"/>
      <w:r w:rsidRPr="00993D82">
        <w:rPr>
          <w:color w:val="404040" w:themeColor="text1" w:themeTint="BF"/>
        </w:rPr>
        <w:t>.</w:t>
      </w:r>
    </w:p>
    <w:p w14:paraId="0C8479E0" w14:textId="0D51233E" w:rsidR="00B50007" w:rsidRDefault="00993D82" w:rsidP="00993D82">
      <w:pPr>
        <w:jc w:val="both"/>
        <w:rPr>
          <w:color w:val="404040" w:themeColor="text1" w:themeTint="BF"/>
        </w:rPr>
      </w:pPr>
      <w:r w:rsidRPr="00993D82">
        <w:rPr>
          <w:color w:val="404040" w:themeColor="text1" w:themeTint="BF"/>
        </w:rPr>
        <w:lastRenderedPageBreak/>
        <w:t xml:space="preserve">Nos dois anos anteriores ao credenciamento, a IAM manteve processos consistentes de controle de risco e apuração de resultados, baseados em métricas como </w:t>
      </w:r>
      <w:proofErr w:type="spellStart"/>
      <w:r w:rsidRPr="00993D82">
        <w:rPr>
          <w:color w:val="404040" w:themeColor="text1" w:themeTint="BF"/>
        </w:rPr>
        <w:t>Value</w:t>
      </w:r>
      <w:proofErr w:type="spellEnd"/>
      <w:r w:rsidRPr="00993D82">
        <w:rPr>
          <w:color w:val="404040" w:themeColor="text1" w:themeTint="BF"/>
        </w:rPr>
        <w:t xml:space="preserve"> </w:t>
      </w:r>
      <w:proofErr w:type="spellStart"/>
      <w:r w:rsidRPr="00993D82">
        <w:rPr>
          <w:color w:val="404040" w:themeColor="text1" w:themeTint="BF"/>
        </w:rPr>
        <w:t>at</w:t>
      </w:r>
      <w:proofErr w:type="spellEnd"/>
      <w:r w:rsidRPr="00993D82">
        <w:rPr>
          <w:color w:val="404040" w:themeColor="text1" w:themeTint="BF"/>
        </w:rPr>
        <w:t xml:space="preserve"> Risk (</w:t>
      </w:r>
      <w:proofErr w:type="spellStart"/>
      <w:r w:rsidRPr="00993D82">
        <w:rPr>
          <w:color w:val="404040" w:themeColor="text1" w:themeTint="BF"/>
        </w:rPr>
        <w:t>VaR</w:t>
      </w:r>
      <w:proofErr w:type="spellEnd"/>
      <w:r w:rsidRPr="00993D82">
        <w:rPr>
          <w:color w:val="404040" w:themeColor="text1" w:themeTint="BF"/>
        </w:rPr>
        <w:t xml:space="preserve">), Tracking </w:t>
      </w:r>
      <w:proofErr w:type="spellStart"/>
      <w:r w:rsidRPr="00993D82">
        <w:rPr>
          <w:color w:val="404040" w:themeColor="text1" w:themeTint="BF"/>
        </w:rPr>
        <w:t>Error</w:t>
      </w:r>
      <w:proofErr w:type="spellEnd"/>
      <w:r w:rsidRPr="00993D82">
        <w:rPr>
          <w:color w:val="404040" w:themeColor="text1" w:themeTint="BF"/>
        </w:rPr>
        <w:t xml:space="preserve">, Stress </w:t>
      </w:r>
      <w:proofErr w:type="spellStart"/>
      <w:r w:rsidRPr="00993D82">
        <w:rPr>
          <w:color w:val="404040" w:themeColor="text1" w:themeTint="BF"/>
        </w:rPr>
        <w:t>Testing</w:t>
      </w:r>
      <w:proofErr w:type="spellEnd"/>
      <w:r w:rsidRPr="00993D82">
        <w:rPr>
          <w:color w:val="404040" w:themeColor="text1" w:themeTint="BF"/>
        </w:rPr>
        <w:t xml:space="preserve"> e aderência ao perfil de risco previsto nos regulamentos. Os relatórios de risco e performance são produzidos com frequência diária e disponibilizados aos gestores e áreas de controle, garantindo o acompanhamento contínuo. Essa abordagem visa assegurar que os resultados obtidos estejam compatíveis com o nível de risco assumido por cada fundo, promovendo transparência e alinhamento com as melhores práticas do mercado.</w:t>
      </w:r>
    </w:p>
    <w:p w14:paraId="43EA14F4" w14:textId="77777777" w:rsidR="00C31260" w:rsidRDefault="00C31260" w:rsidP="00B50007">
      <w:pPr>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0E6176" w:rsidRPr="006E6BAD" w14:paraId="085E484D" w14:textId="77777777" w:rsidTr="00B644AB">
        <w:trPr>
          <w:trHeight w:val="644"/>
        </w:trPr>
        <w:tc>
          <w:tcPr>
            <w:tcW w:w="8499" w:type="dxa"/>
            <w:shd w:val="clear" w:color="auto" w:fill="3B3B98"/>
          </w:tcPr>
          <w:p w14:paraId="4E64B41B" w14:textId="77777777" w:rsidR="000E6176" w:rsidRPr="00B50007" w:rsidRDefault="000E6176" w:rsidP="00B644AB">
            <w:pPr>
              <w:rPr>
                <w:b/>
                <w:bCs/>
              </w:rPr>
            </w:pPr>
            <w:r w:rsidRPr="001F140C">
              <w:rPr>
                <w:b/>
                <w:bCs/>
                <w:color w:val="FFFFFF" w:themeColor="background1"/>
              </w:rPr>
              <w:t>EMBASAMENTO EM FORMULÁRIOS DE DILIGÊNCIA PREVISTOS EM CÓDIGOS DE AUTORREGULAÇÃO RELATIVOS À ADMINISTRAÇÃO DE RECURSOS DE TERCEIROS</w:t>
            </w:r>
          </w:p>
        </w:tc>
      </w:tr>
    </w:tbl>
    <w:p w14:paraId="3D35EC9A" w14:textId="77777777" w:rsidR="00572A45" w:rsidRPr="00572A45" w:rsidRDefault="00572A45" w:rsidP="00993D82">
      <w:pPr>
        <w:jc w:val="both"/>
        <w:rPr>
          <w:color w:val="404040" w:themeColor="text1" w:themeTint="BF"/>
        </w:rPr>
      </w:pPr>
      <w:r w:rsidRPr="00572A45">
        <w:rPr>
          <w:color w:val="404040" w:themeColor="text1" w:themeTint="BF"/>
        </w:rPr>
        <w:t>IAM é membro de associações de classe e/ou autorreguladoras, sendo a principal delas a ANBIMA. Ela segue quatro códigos da ANBIMA, que estabelecem regras de conduta para garantir a sustentabilidade do mercado e a segurança do investidor:</w:t>
      </w:r>
    </w:p>
    <w:p w14:paraId="58C2A4B0" w14:textId="77777777" w:rsidR="00572A45" w:rsidRPr="00572A45" w:rsidRDefault="00572A45" w:rsidP="00993D82">
      <w:pPr>
        <w:jc w:val="both"/>
        <w:rPr>
          <w:color w:val="404040" w:themeColor="text1" w:themeTint="BF"/>
        </w:rPr>
      </w:pPr>
      <w:r w:rsidRPr="00572A45">
        <w:rPr>
          <w:color w:val="404040" w:themeColor="text1" w:themeTint="BF"/>
        </w:rPr>
        <w:t>• Código de Administração de Recursos de Terceiros</w:t>
      </w:r>
    </w:p>
    <w:p w14:paraId="3E34DE7C" w14:textId="77777777" w:rsidR="00572A45" w:rsidRPr="00572A45" w:rsidRDefault="00572A45" w:rsidP="00993D82">
      <w:pPr>
        <w:jc w:val="both"/>
        <w:rPr>
          <w:color w:val="404040" w:themeColor="text1" w:themeTint="BF"/>
        </w:rPr>
      </w:pPr>
      <w:r w:rsidRPr="00572A45">
        <w:rPr>
          <w:color w:val="404040" w:themeColor="text1" w:themeTint="BF"/>
        </w:rPr>
        <w:t>• Código de Ética</w:t>
      </w:r>
    </w:p>
    <w:p w14:paraId="0D482021" w14:textId="77777777" w:rsidR="00572A45" w:rsidRPr="00572A45" w:rsidRDefault="00572A45" w:rsidP="00993D82">
      <w:pPr>
        <w:jc w:val="both"/>
        <w:rPr>
          <w:color w:val="404040" w:themeColor="text1" w:themeTint="BF"/>
        </w:rPr>
      </w:pPr>
      <w:r w:rsidRPr="00572A45">
        <w:rPr>
          <w:color w:val="404040" w:themeColor="text1" w:themeTint="BF"/>
        </w:rPr>
        <w:t>• Código dos Processos da Regulação e Melhores Práticas</w:t>
      </w:r>
    </w:p>
    <w:p w14:paraId="230546BD" w14:textId="77777777" w:rsidR="00572A45" w:rsidRPr="00572A45" w:rsidRDefault="00572A45" w:rsidP="00993D82">
      <w:pPr>
        <w:jc w:val="both"/>
        <w:rPr>
          <w:color w:val="404040" w:themeColor="text1" w:themeTint="BF"/>
        </w:rPr>
      </w:pPr>
      <w:r w:rsidRPr="00572A45">
        <w:rPr>
          <w:color w:val="404040" w:themeColor="text1" w:themeTint="BF"/>
        </w:rPr>
        <w:t>• Código para o Programa de Certificação Continuada</w:t>
      </w:r>
    </w:p>
    <w:p w14:paraId="42802574" w14:textId="1C7795B5" w:rsidR="00B50007" w:rsidRPr="00572A45" w:rsidRDefault="00572A45" w:rsidP="00993D82">
      <w:pPr>
        <w:jc w:val="both"/>
        <w:rPr>
          <w:color w:val="404040" w:themeColor="text1" w:themeTint="BF"/>
        </w:rPr>
      </w:pPr>
      <w:r w:rsidRPr="00572A45">
        <w:rPr>
          <w:color w:val="404040" w:themeColor="text1" w:themeTint="BF"/>
        </w:rPr>
        <w:t>A gestora também é signatária do PRI (</w:t>
      </w:r>
      <w:proofErr w:type="spellStart"/>
      <w:r w:rsidRPr="00572A45">
        <w:rPr>
          <w:color w:val="404040" w:themeColor="text1" w:themeTint="BF"/>
        </w:rPr>
        <w:t>Principles</w:t>
      </w:r>
      <w:proofErr w:type="spellEnd"/>
      <w:r w:rsidRPr="00572A45">
        <w:rPr>
          <w:color w:val="404040" w:themeColor="text1" w:themeTint="BF"/>
        </w:rPr>
        <w:t xml:space="preserve"> for </w:t>
      </w:r>
      <w:proofErr w:type="spellStart"/>
      <w:r w:rsidRPr="00572A45">
        <w:rPr>
          <w:color w:val="404040" w:themeColor="text1" w:themeTint="BF"/>
        </w:rPr>
        <w:t>Responsible</w:t>
      </w:r>
      <w:proofErr w:type="spellEnd"/>
      <w:r w:rsidRPr="00572A45">
        <w:rPr>
          <w:color w:val="404040" w:themeColor="text1" w:themeTint="BF"/>
        </w:rPr>
        <w:t xml:space="preserve"> </w:t>
      </w:r>
      <w:proofErr w:type="spellStart"/>
      <w:r w:rsidRPr="00572A45">
        <w:rPr>
          <w:color w:val="404040" w:themeColor="text1" w:themeTint="BF"/>
        </w:rPr>
        <w:t>Investment</w:t>
      </w:r>
      <w:proofErr w:type="spellEnd"/>
      <w:r w:rsidRPr="00572A45">
        <w:rPr>
          <w:color w:val="404040" w:themeColor="text1" w:themeTint="BF"/>
        </w:rPr>
        <w:t xml:space="preserve">) desde 2008, e do Código AMEC de Princípios e Deveres dos Investidores Institucionais – </w:t>
      </w:r>
      <w:proofErr w:type="spellStart"/>
      <w:r w:rsidRPr="00572A45">
        <w:rPr>
          <w:color w:val="404040" w:themeColor="text1" w:themeTint="BF"/>
        </w:rPr>
        <w:t>Stewardship</w:t>
      </w:r>
      <w:proofErr w:type="spellEnd"/>
      <w:r w:rsidRPr="00572A45">
        <w:rPr>
          <w:color w:val="404040" w:themeColor="text1" w:themeTint="BF"/>
        </w:rPr>
        <w:t>.</w:t>
      </w:r>
    </w:p>
    <w:p w14:paraId="50C45009" w14:textId="77777777" w:rsidR="00C31260" w:rsidRPr="00742783" w:rsidRDefault="00C31260" w:rsidP="00742783">
      <w:pPr>
        <w:rPr>
          <w:b/>
          <w:bCs/>
          <w:color w:val="404040" w:themeColor="text1" w:themeTint="BF"/>
        </w:rPr>
      </w:pPr>
    </w:p>
    <w:p w14:paraId="1B50EA88" w14:textId="6C787B6C" w:rsidR="00BB44DD" w:rsidRPr="00385677" w:rsidRDefault="003804EF" w:rsidP="00BB44DD">
      <w:pPr>
        <w:rPr>
          <w:b/>
          <w:bCs/>
          <w:color w:val="3B3B98"/>
          <w:sz w:val="28"/>
          <w:szCs w:val="28"/>
        </w:rPr>
      </w:pPr>
      <w:r w:rsidRPr="00385677">
        <w:rPr>
          <w:b/>
          <w:bCs/>
          <w:color w:val="3B3B98"/>
          <w:sz w:val="28"/>
          <w:szCs w:val="28"/>
        </w:rPr>
        <w:t>V</w:t>
      </w:r>
      <w:r w:rsidR="00BB44DD" w:rsidRPr="00385677">
        <w:rPr>
          <w:b/>
          <w:bCs/>
          <w:color w:val="3B3B98"/>
          <w:sz w:val="28"/>
          <w:szCs w:val="28"/>
        </w:rPr>
        <w:t xml:space="preserve"> – PARECER </w:t>
      </w:r>
      <w:r w:rsidR="00B50007" w:rsidRPr="00385677">
        <w:rPr>
          <w:b/>
          <w:bCs/>
          <w:color w:val="3B3B98"/>
          <w:sz w:val="28"/>
          <w:szCs w:val="28"/>
        </w:rPr>
        <w:t xml:space="preserve">SOBRE A INSTITUIÇÃO </w:t>
      </w:r>
    </w:p>
    <w:p w14:paraId="41F0DEEF" w14:textId="66C104D6" w:rsidR="003C1B37" w:rsidRDefault="00572A45" w:rsidP="00993D82">
      <w:pPr>
        <w:jc w:val="both"/>
        <w:rPr>
          <w:color w:val="404040" w:themeColor="text1" w:themeTint="BF"/>
        </w:rPr>
      </w:pPr>
      <w:r w:rsidRPr="00572A45">
        <w:rPr>
          <w:color w:val="404040" w:themeColor="text1" w:themeTint="BF"/>
        </w:rPr>
        <w:t xml:space="preserve">A Itaú </w:t>
      </w:r>
      <w:proofErr w:type="spellStart"/>
      <w:r w:rsidRPr="00572A45">
        <w:rPr>
          <w:color w:val="404040" w:themeColor="text1" w:themeTint="BF"/>
        </w:rPr>
        <w:t>Asset</w:t>
      </w:r>
      <w:proofErr w:type="spellEnd"/>
      <w:r w:rsidRPr="00572A45">
        <w:rPr>
          <w:color w:val="404040" w:themeColor="text1" w:themeTint="BF"/>
        </w:rPr>
        <w:t xml:space="preserve"> Management opera como uma empresa do conglomerado Itaú Unibanco S.A., tendo o Itaú Unibanco S.A. como seu único sócio. Essa reestruturação, em que a Itaú </w:t>
      </w:r>
      <w:proofErr w:type="spellStart"/>
      <w:r w:rsidRPr="00572A45">
        <w:rPr>
          <w:color w:val="404040" w:themeColor="text1" w:themeTint="BF"/>
        </w:rPr>
        <w:t>Asset</w:t>
      </w:r>
      <w:proofErr w:type="spellEnd"/>
      <w:r w:rsidRPr="00572A45">
        <w:rPr>
          <w:color w:val="404040" w:themeColor="text1" w:themeTint="BF"/>
        </w:rPr>
        <w:t xml:space="preserve"> Management deixou de ser uma unidade de negócios do Itaú Unibanco S.A. para se tornar uma empresa do conglomerado, não afeta os investimentos, times de gestão ou atendimento aos clientes.</w:t>
      </w:r>
    </w:p>
    <w:p w14:paraId="19F7F86E" w14:textId="77777777" w:rsidR="00993D82" w:rsidRPr="00993D82" w:rsidRDefault="00993D82" w:rsidP="00993D82">
      <w:pPr>
        <w:jc w:val="both"/>
        <w:rPr>
          <w:color w:val="404040" w:themeColor="text1" w:themeTint="BF"/>
        </w:rPr>
      </w:pPr>
      <w:r w:rsidRPr="00993D82">
        <w:rPr>
          <w:color w:val="404040" w:themeColor="text1" w:themeTint="BF"/>
        </w:rPr>
        <w:t xml:space="preserve">Após análise da documentação apresentada pela Itaú </w:t>
      </w:r>
      <w:proofErr w:type="spellStart"/>
      <w:r w:rsidRPr="00993D82">
        <w:rPr>
          <w:color w:val="404040" w:themeColor="text1" w:themeTint="BF"/>
        </w:rPr>
        <w:t>Asset</w:t>
      </w:r>
      <w:proofErr w:type="spellEnd"/>
      <w:r w:rsidRPr="00993D82">
        <w:rPr>
          <w:color w:val="404040" w:themeColor="text1" w:themeTint="BF"/>
        </w:rPr>
        <w:t xml:space="preserve"> Management (IAM), verifica-se que a instituição atende integralmente aos requisitos exigidos pela Portaria MTP nº 1.467/2022, no que diz respeito aos aspectos institucionais, operacionais, regulatórios e técnicos. A documentação comprova a regularidade fiscal e previdenciária da gestora, a aderência aos padrões de governança e compliance, bem como a existência de políticas e processos consistentes para gestão de riscos, controle interno, prevenção à lavagem de dinheiro e conduta ética. Além disso, foram disponibilizados os currículos dos principais profissionais da equipe técnica, evidenciando a qualificação e experiência compatíveis com a natureza das atividades desenvolvidas.</w:t>
      </w:r>
    </w:p>
    <w:p w14:paraId="59025778" w14:textId="77777777" w:rsidR="00993D82" w:rsidRPr="00993D82" w:rsidRDefault="00993D82" w:rsidP="00993D82">
      <w:pPr>
        <w:jc w:val="both"/>
        <w:rPr>
          <w:color w:val="404040" w:themeColor="text1" w:themeTint="BF"/>
        </w:rPr>
      </w:pPr>
      <w:r w:rsidRPr="00993D82">
        <w:rPr>
          <w:color w:val="404040" w:themeColor="text1" w:themeTint="BF"/>
        </w:rPr>
        <w:t xml:space="preserve">Destaca-se também que a IAM demonstrou, por meio de informações auditáveis, a solidez de sua estrutura de gestão de recursos de terceiros, a segregação efetiva de atividades sensíveis e a existência de mecanismos formais de avaliação de performance dos fundos. A análise de rentabilidade, riscos assumidos e aderência aos indicadores de desempenho no período mínimo de dois anos anteriores ao credenciamento revela a aplicação de </w:t>
      </w:r>
      <w:r w:rsidRPr="00993D82">
        <w:rPr>
          <w:color w:val="404040" w:themeColor="text1" w:themeTint="BF"/>
        </w:rPr>
        <w:lastRenderedPageBreak/>
        <w:t>metodologias alinhadas às melhores práticas do mercado e conformidade com os parâmetros definidos na regulamentação aplicável. A instituição ainda comprova certificações, adesão a códigos de autorregulação e histórico consistente de atuação no setor.</w:t>
      </w:r>
    </w:p>
    <w:p w14:paraId="49E289AF" w14:textId="77777777" w:rsidR="00993D82" w:rsidRPr="00993D82" w:rsidRDefault="00993D82" w:rsidP="00993D82">
      <w:pPr>
        <w:jc w:val="both"/>
        <w:rPr>
          <w:color w:val="404040" w:themeColor="text1" w:themeTint="BF"/>
        </w:rPr>
      </w:pPr>
      <w:r w:rsidRPr="00993D82">
        <w:rPr>
          <w:color w:val="404040" w:themeColor="text1" w:themeTint="BF"/>
        </w:rPr>
        <w:t xml:space="preserve">Dessa forma, com base na documentação examinada e nos critérios objetivos definidos pela Portaria MTP nº 1.467/2022, conclui-se de forma imparcial que a Itaú </w:t>
      </w:r>
      <w:proofErr w:type="spellStart"/>
      <w:r w:rsidRPr="00993D82">
        <w:rPr>
          <w:color w:val="404040" w:themeColor="text1" w:themeTint="BF"/>
        </w:rPr>
        <w:t>Asset</w:t>
      </w:r>
      <w:proofErr w:type="spellEnd"/>
      <w:r w:rsidRPr="00993D82">
        <w:rPr>
          <w:color w:val="404040" w:themeColor="text1" w:themeTint="BF"/>
        </w:rPr>
        <w:t xml:space="preserve"> Management está apta a ser credenciada para atuar junto aos Regimes Próprios de Previdência Social (RPPS), não havendo qualquer ressalva que impeça ou comprometa sua habilitação.</w:t>
      </w:r>
    </w:p>
    <w:p w14:paraId="513DCD20" w14:textId="77777777" w:rsidR="00572A45" w:rsidRPr="00385677" w:rsidRDefault="00572A45" w:rsidP="00BB44DD">
      <w:pPr>
        <w:rPr>
          <w:b/>
          <w:bCs/>
          <w:color w:val="404040" w:themeColor="text1" w:themeTint="BF"/>
        </w:rPr>
      </w:pPr>
    </w:p>
    <w:p w14:paraId="7278CB64" w14:textId="6523D7EB" w:rsidR="003C1B37" w:rsidRPr="00385677" w:rsidRDefault="003C1B37" w:rsidP="00BB44DD">
      <w:pPr>
        <w:rPr>
          <w:b/>
          <w:bCs/>
          <w:color w:val="3B3B98"/>
          <w:sz w:val="28"/>
          <w:szCs w:val="28"/>
        </w:rPr>
      </w:pPr>
      <w:r w:rsidRPr="00385677">
        <w:rPr>
          <w:b/>
          <w:bCs/>
          <w:color w:val="3B3B98"/>
          <w:sz w:val="28"/>
          <w:szCs w:val="28"/>
        </w:rPr>
        <w:t>V</w:t>
      </w:r>
      <w:r w:rsidR="0047448C">
        <w:rPr>
          <w:b/>
          <w:bCs/>
          <w:color w:val="3B3B98"/>
          <w:sz w:val="28"/>
          <w:szCs w:val="28"/>
        </w:rPr>
        <w:t>I</w:t>
      </w:r>
      <w:r w:rsidRPr="00385677">
        <w:rPr>
          <w:b/>
          <w:bCs/>
          <w:color w:val="3B3B98"/>
          <w:sz w:val="28"/>
          <w:szCs w:val="28"/>
        </w:rPr>
        <w:t xml:space="preserve"> – RESPONSÁVEIS PELO CREDENCIAMENTO</w:t>
      </w:r>
    </w:p>
    <w:tbl>
      <w:tblPr>
        <w:tblStyle w:val="Tabelacomgrade"/>
        <w:tblW w:w="9634" w:type="dxa"/>
        <w:tblLook w:val="04A0" w:firstRow="1" w:lastRow="0" w:firstColumn="1" w:lastColumn="0" w:noHBand="0" w:noVBand="1"/>
      </w:tblPr>
      <w:tblGrid>
        <w:gridCol w:w="2328"/>
        <w:gridCol w:w="2005"/>
        <w:gridCol w:w="2080"/>
        <w:gridCol w:w="3221"/>
      </w:tblGrid>
      <w:tr w:rsidR="00D95107" w14:paraId="165CAEEE" w14:textId="77777777" w:rsidTr="00B87FA4">
        <w:trPr>
          <w:trHeight w:val="410"/>
        </w:trPr>
        <w:tc>
          <w:tcPr>
            <w:tcW w:w="2328" w:type="dxa"/>
            <w:shd w:val="clear" w:color="auto" w:fill="3B3B98"/>
            <w:vAlign w:val="center"/>
          </w:tcPr>
          <w:p w14:paraId="19FCA6EB" w14:textId="61ECAAA1" w:rsidR="00D95107" w:rsidRPr="0082059B" w:rsidRDefault="00D95107" w:rsidP="00341BEC">
            <w:pPr>
              <w:jc w:val="center"/>
              <w:rPr>
                <w:b/>
                <w:bCs/>
                <w:color w:val="FFFFFF" w:themeColor="background1"/>
              </w:rPr>
            </w:pPr>
            <w:r w:rsidRPr="0082059B">
              <w:rPr>
                <w:b/>
                <w:bCs/>
                <w:color w:val="FFFFFF" w:themeColor="background1"/>
              </w:rPr>
              <w:t>NOME</w:t>
            </w:r>
          </w:p>
        </w:tc>
        <w:tc>
          <w:tcPr>
            <w:tcW w:w="2005" w:type="dxa"/>
            <w:shd w:val="clear" w:color="auto" w:fill="3B3B98"/>
            <w:vAlign w:val="center"/>
          </w:tcPr>
          <w:p w14:paraId="0C9C3FBF" w14:textId="0A21E465" w:rsidR="00D95107" w:rsidRPr="0082059B" w:rsidRDefault="00D95107" w:rsidP="00341BEC">
            <w:pPr>
              <w:jc w:val="center"/>
              <w:rPr>
                <w:b/>
                <w:bCs/>
                <w:color w:val="FFFFFF" w:themeColor="background1"/>
              </w:rPr>
            </w:pPr>
            <w:r w:rsidRPr="0082059B">
              <w:rPr>
                <w:b/>
                <w:bCs/>
                <w:color w:val="FFFFFF" w:themeColor="background1"/>
              </w:rPr>
              <w:t>CARGO</w:t>
            </w:r>
          </w:p>
        </w:tc>
        <w:tc>
          <w:tcPr>
            <w:tcW w:w="2080" w:type="dxa"/>
            <w:shd w:val="clear" w:color="auto" w:fill="3B3B98"/>
            <w:vAlign w:val="center"/>
          </w:tcPr>
          <w:p w14:paraId="6146399B" w14:textId="4032BA3F" w:rsidR="00D95107" w:rsidRPr="0082059B" w:rsidRDefault="00D95107" w:rsidP="00341BEC">
            <w:pPr>
              <w:jc w:val="center"/>
              <w:rPr>
                <w:b/>
                <w:bCs/>
                <w:color w:val="FFFFFF" w:themeColor="background1"/>
              </w:rPr>
            </w:pPr>
            <w:r w:rsidRPr="0082059B">
              <w:rPr>
                <w:b/>
                <w:bCs/>
                <w:color w:val="FFFFFF" w:themeColor="background1"/>
              </w:rPr>
              <w:t>CPF</w:t>
            </w:r>
          </w:p>
        </w:tc>
        <w:tc>
          <w:tcPr>
            <w:tcW w:w="3221" w:type="dxa"/>
            <w:shd w:val="clear" w:color="auto" w:fill="3B3B98"/>
            <w:vAlign w:val="center"/>
          </w:tcPr>
          <w:p w14:paraId="5E1CEA7D" w14:textId="3FA22F1B" w:rsidR="00D95107" w:rsidRPr="0082059B" w:rsidRDefault="00D95107" w:rsidP="00341BEC">
            <w:pPr>
              <w:jc w:val="center"/>
              <w:rPr>
                <w:b/>
                <w:bCs/>
                <w:color w:val="FFFFFF" w:themeColor="background1"/>
              </w:rPr>
            </w:pPr>
            <w:r w:rsidRPr="0082059B">
              <w:rPr>
                <w:b/>
                <w:bCs/>
                <w:color w:val="FFFFFF" w:themeColor="background1"/>
              </w:rPr>
              <w:t>ASSINATURA</w:t>
            </w:r>
          </w:p>
        </w:tc>
      </w:tr>
      <w:tr w:rsidR="00B87FA4" w14:paraId="6A2ADB73" w14:textId="77777777" w:rsidTr="00B87FA4">
        <w:trPr>
          <w:trHeight w:val="697"/>
        </w:trPr>
        <w:tc>
          <w:tcPr>
            <w:tcW w:w="2328" w:type="dxa"/>
            <w:vAlign w:val="center"/>
          </w:tcPr>
          <w:p w14:paraId="7CAF9B0D" w14:textId="524BEB3D" w:rsidR="00B87FA4" w:rsidRPr="00385677" w:rsidRDefault="00B87FA4" w:rsidP="00B87FA4">
            <w:pPr>
              <w:rPr>
                <w:b/>
                <w:bCs/>
                <w:color w:val="404040" w:themeColor="text1" w:themeTint="BF"/>
              </w:rPr>
            </w:pPr>
            <w:r>
              <w:rPr>
                <w:b/>
                <w:bCs/>
                <w:color w:val="404040" w:themeColor="text1" w:themeTint="BF"/>
              </w:rPr>
              <w:t>THIAGO COELHO BEZERRA</w:t>
            </w:r>
          </w:p>
        </w:tc>
        <w:tc>
          <w:tcPr>
            <w:tcW w:w="2005" w:type="dxa"/>
            <w:vAlign w:val="center"/>
          </w:tcPr>
          <w:p w14:paraId="77DC4392" w14:textId="458C573B" w:rsidR="00B87FA4" w:rsidRPr="00385677" w:rsidRDefault="00B87FA4" w:rsidP="00B87FA4">
            <w:pPr>
              <w:rPr>
                <w:b/>
                <w:bCs/>
                <w:color w:val="404040" w:themeColor="text1" w:themeTint="BF"/>
              </w:rPr>
            </w:pPr>
            <w:r>
              <w:rPr>
                <w:b/>
                <w:bCs/>
                <w:color w:val="404040" w:themeColor="text1" w:themeTint="BF"/>
              </w:rPr>
              <w:t>PRESIDENTE DO COMITÊ</w:t>
            </w:r>
          </w:p>
        </w:tc>
        <w:tc>
          <w:tcPr>
            <w:tcW w:w="2080" w:type="dxa"/>
            <w:vAlign w:val="center"/>
          </w:tcPr>
          <w:p w14:paraId="58193000" w14:textId="317F0D93" w:rsidR="00B87FA4" w:rsidRPr="00385677" w:rsidRDefault="00B87FA4" w:rsidP="00B87FA4">
            <w:pPr>
              <w:rPr>
                <w:b/>
                <w:bCs/>
                <w:color w:val="404040" w:themeColor="text1" w:themeTint="BF"/>
              </w:rPr>
            </w:pPr>
          </w:p>
        </w:tc>
        <w:tc>
          <w:tcPr>
            <w:tcW w:w="3221" w:type="dxa"/>
            <w:vAlign w:val="center"/>
          </w:tcPr>
          <w:p w14:paraId="5953427F" w14:textId="77777777" w:rsidR="00B87FA4" w:rsidRPr="00385677" w:rsidRDefault="00B87FA4" w:rsidP="00B87FA4">
            <w:pPr>
              <w:rPr>
                <w:b/>
                <w:bCs/>
                <w:color w:val="404040" w:themeColor="text1" w:themeTint="BF"/>
              </w:rPr>
            </w:pPr>
          </w:p>
        </w:tc>
      </w:tr>
      <w:tr w:rsidR="00B87FA4" w14:paraId="23B55F1B" w14:textId="77777777" w:rsidTr="00B87FA4">
        <w:trPr>
          <w:trHeight w:val="849"/>
        </w:trPr>
        <w:tc>
          <w:tcPr>
            <w:tcW w:w="2328" w:type="dxa"/>
            <w:vAlign w:val="center"/>
          </w:tcPr>
          <w:p w14:paraId="0931B867" w14:textId="4984B84B" w:rsidR="00B87FA4" w:rsidRPr="00385677" w:rsidRDefault="00B87FA4" w:rsidP="00B87FA4">
            <w:pPr>
              <w:rPr>
                <w:b/>
                <w:bCs/>
                <w:color w:val="404040" w:themeColor="text1" w:themeTint="BF"/>
              </w:rPr>
            </w:pPr>
            <w:r>
              <w:rPr>
                <w:b/>
                <w:bCs/>
                <w:color w:val="404040" w:themeColor="text1" w:themeTint="BF"/>
              </w:rPr>
              <w:t>MICHAELE FEITOSA PESSOA</w:t>
            </w:r>
          </w:p>
        </w:tc>
        <w:tc>
          <w:tcPr>
            <w:tcW w:w="2005" w:type="dxa"/>
            <w:vAlign w:val="center"/>
          </w:tcPr>
          <w:p w14:paraId="537BF0ED" w14:textId="039EECFE" w:rsidR="00B87FA4" w:rsidRPr="00385677" w:rsidRDefault="00B87FA4" w:rsidP="00B87FA4">
            <w:pPr>
              <w:rPr>
                <w:b/>
                <w:bCs/>
                <w:color w:val="404040" w:themeColor="text1" w:themeTint="BF"/>
              </w:rPr>
            </w:pPr>
            <w:r>
              <w:rPr>
                <w:b/>
                <w:bCs/>
                <w:color w:val="404040" w:themeColor="text1" w:themeTint="BF"/>
              </w:rPr>
              <w:t xml:space="preserve">COORDENADORA DO COMITÊ </w:t>
            </w:r>
          </w:p>
        </w:tc>
        <w:tc>
          <w:tcPr>
            <w:tcW w:w="2080" w:type="dxa"/>
            <w:vAlign w:val="center"/>
          </w:tcPr>
          <w:p w14:paraId="54D6A610" w14:textId="77777777" w:rsidR="00B87FA4" w:rsidRPr="00385677" w:rsidRDefault="00B87FA4" w:rsidP="00CE0756">
            <w:pPr>
              <w:rPr>
                <w:b/>
                <w:bCs/>
                <w:color w:val="404040" w:themeColor="text1" w:themeTint="BF"/>
              </w:rPr>
            </w:pPr>
          </w:p>
        </w:tc>
        <w:tc>
          <w:tcPr>
            <w:tcW w:w="3221" w:type="dxa"/>
            <w:vAlign w:val="center"/>
          </w:tcPr>
          <w:p w14:paraId="49AD9837" w14:textId="77777777" w:rsidR="00B87FA4" w:rsidRPr="00385677" w:rsidRDefault="00B87FA4" w:rsidP="00B87FA4">
            <w:pPr>
              <w:rPr>
                <w:b/>
                <w:bCs/>
                <w:color w:val="404040" w:themeColor="text1" w:themeTint="BF"/>
              </w:rPr>
            </w:pPr>
          </w:p>
        </w:tc>
      </w:tr>
      <w:tr w:rsidR="00B87FA4" w14:paraId="59198BDE" w14:textId="77777777" w:rsidTr="00B87FA4">
        <w:trPr>
          <w:trHeight w:val="975"/>
        </w:trPr>
        <w:tc>
          <w:tcPr>
            <w:tcW w:w="2328" w:type="dxa"/>
            <w:vAlign w:val="center"/>
          </w:tcPr>
          <w:p w14:paraId="000E6295" w14:textId="43D7EE35" w:rsidR="00B87FA4" w:rsidRPr="00385677" w:rsidRDefault="00B87FA4" w:rsidP="00B87FA4">
            <w:pPr>
              <w:rPr>
                <w:b/>
                <w:bCs/>
                <w:color w:val="404040" w:themeColor="text1" w:themeTint="BF"/>
              </w:rPr>
            </w:pPr>
            <w:r>
              <w:rPr>
                <w:b/>
                <w:bCs/>
                <w:color w:val="404040" w:themeColor="text1" w:themeTint="BF"/>
              </w:rPr>
              <w:t>CARLOS EDUARDO GOMES JÚNIOR</w:t>
            </w:r>
          </w:p>
        </w:tc>
        <w:tc>
          <w:tcPr>
            <w:tcW w:w="2005" w:type="dxa"/>
            <w:vAlign w:val="center"/>
          </w:tcPr>
          <w:p w14:paraId="42E8A474" w14:textId="4DDA515B" w:rsidR="00B87FA4" w:rsidRPr="00385677" w:rsidRDefault="00B87FA4" w:rsidP="00B87FA4">
            <w:pPr>
              <w:rPr>
                <w:b/>
                <w:bCs/>
                <w:color w:val="404040" w:themeColor="text1" w:themeTint="BF"/>
              </w:rPr>
            </w:pPr>
            <w:r>
              <w:rPr>
                <w:b/>
                <w:bCs/>
                <w:color w:val="404040" w:themeColor="text1" w:themeTint="BF"/>
              </w:rPr>
              <w:t>COORDENADOR DO COMITÊ</w:t>
            </w:r>
          </w:p>
        </w:tc>
        <w:tc>
          <w:tcPr>
            <w:tcW w:w="2080" w:type="dxa"/>
            <w:vAlign w:val="center"/>
          </w:tcPr>
          <w:p w14:paraId="71F9C411" w14:textId="72389571" w:rsidR="00B87FA4" w:rsidRPr="00385677" w:rsidRDefault="00B87FA4" w:rsidP="00B87FA4">
            <w:pPr>
              <w:rPr>
                <w:b/>
                <w:bCs/>
                <w:color w:val="404040" w:themeColor="text1" w:themeTint="BF"/>
              </w:rPr>
            </w:pPr>
          </w:p>
        </w:tc>
        <w:tc>
          <w:tcPr>
            <w:tcW w:w="3221" w:type="dxa"/>
            <w:vAlign w:val="center"/>
          </w:tcPr>
          <w:p w14:paraId="15E3A40F" w14:textId="77777777" w:rsidR="00B87FA4" w:rsidRPr="00385677" w:rsidRDefault="00B87FA4" w:rsidP="00B87FA4">
            <w:pPr>
              <w:rPr>
                <w:b/>
                <w:bCs/>
                <w:color w:val="404040" w:themeColor="text1" w:themeTint="BF"/>
              </w:rPr>
            </w:pPr>
          </w:p>
        </w:tc>
      </w:tr>
    </w:tbl>
    <w:p w14:paraId="73F4C863" w14:textId="77777777" w:rsidR="0080731D" w:rsidRDefault="0080731D" w:rsidP="00BB44DD">
      <w:pPr>
        <w:rPr>
          <w:b/>
          <w:bCs/>
        </w:rPr>
      </w:pPr>
    </w:p>
    <w:p w14:paraId="1EEDB408" w14:textId="77777777" w:rsidR="00572A45" w:rsidRDefault="00572A45" w:rsidP="00BB44DD">
      <w:pPr>
        <w:rPr>
          <w:b/>
          <w:bCs/>
        </w:rPr>
      </w:pPr>
    </w:p>
    <w:p w14:paraId="156D19C3" w14:textId="77777777" w:rsidR="00572A45" w:rsidRDefault="00572A45" w:rsidP="00BB44DD">
      <w:pPr>
        <w:rPr>
          <w:b/>
          <w:bCs/>
        </w:rPr>
      </w:pPr>
    </w:p>
    <w:p w14:paraId="3A61D09A" w14:textId="77777777" w:rsidR="00572A45" w:rsidRDefault="00572A45" w:rsidP="00BB44DD">
      <w:pPr>
        <w:rPr>
          <w:b/>
          <w:bCs/>
        </w:rPr>
      </w:pPr>
    </w:p>
    <w:p w14:paraId="641ABDC6" w14:textId="77777777" w:rsidR="00993D82" w:rsidRDefault="00993D82" w:rsidP="00BB44DD">
      <w:pPr>
        <w:rPr>
          <w:b/>
          <w:bCs/>
        </w:rPr>
      </w:pPr>
    </w:p>
    <w:p w14:paraId="264D55D3" w14:textId="77777777" w:rsidR="00993D82" w:rsidRDefault="00993D82" w:rsidP="00BB44DD">
      <w:pPr>
        <w:rPr>
          <w:b/>
          <w:bCs/>
        </w:rPr>
      </w:pPr>
    </w:p>
    <w:p w14:paraId="24E43E3F" w14:textId="77777777" w:rsidR="00993D82" w:rsidRDefault="00993D82" w:rsidP="00BB44DD">
      <w:pPr>
        <w:rPr>
          <w:b/>
          <w:bCs/>
        </w:rPr>
      </w:pPr>
    </w:p>
    <w:p w14:paraId="7A60D673" w14:textId="77777777" w:rsidR="00993D82" w:rsidRDefault="00993D82" w:rsidP="00BB44DD">
      <w:pPr>
        <w:rPr>
          <w:b/>
          <w:bCs/>
        </w:rPr>
      </w:pPr>
    </w:p>
    <w:p w14:paraId="2DB13E0E" w14:textId="77777777" w:rsidR="00993D82" w:rsidRDefault="00993D82" w:rsidP="00BB44DD">
      <w:pPr>
        <w:rPr>
          <w:b/>
          <w:bCs/>
        </w:rPr>
      </w:pPr>
    </w:p>
    <w:p w14:paraId="23BC364F" w14:textId="77777777" w:rsidR="00993D82" w:rsidRDefault="00993D82" w:rsidP="00BB44DD">
      <w:pPr>
        <w:rPr>
          <w:b/>
          <w:bCs/>
        </w:rPr>
      </w:pPr>
    </w:p>
    <w:p w14:paraId="649112D8" w14:textId="77777777" w:rsidR="00993D82" w:rsidRDefault="00993D82" w:rsidP="00BB44DD">
      <w:pPr>
        <w:rPr>
          <w:b/>
          <w:bCs/>
        </w:rPr>
      </w:pPr>
    </w:p>
    <w:p w14:paraId="3300B497" w14:textId="77777777" w:rsidR="00993D82" w:rsidRDefault="00993D82" w:rsidP="00BB44DD">
      <w:pPr>
        <w:rPr>
          <w:b/>
          <w:bCs/>
        </w:rPr>
      </w:pPr>
    </w:p>
    <w:p w14:paraId="175EA6ED" w14:textId="77777777" w:rsidR="00993D82" w:rsidRDefault="00993D82" w:rsidP="00BB44DD">
      <w:pPr>
        <w:rPr>
          <w:b/>
          <w:bCs/>
        </w:rPr>
      </w:pPr>
    </w:p>
    <w:p w14:paraId="38786106" w14:textId="77777777" w:rsidR="00993D82" w:rsidRDefault="00993D82" w:rsidP="00BB44DD">
      <w:pPr>
        <w:rPr>
          <w:b/>
          <w:bCs/>
        </w:rPr>
      </w:pPr>
    </w:p>
    <w:p w14:paraId="0B9F9DAB" w14:textId="77777777" w:rsidR="00993D82" w:rsidRDefault="00993D82" w:rsidP="00BB44DD">
      <w:pPr>
        <w:rPr>
          <w:b/>
          <w:bCs/>
        </w:rPr>
      </w:pPr>
    </w:p>
    <w:p w14:paraId="0AB6AEB4" w14:textId="77777777" w:rsidR="00572A45" w:rsidRDefault="00572A45" w:rsidP="00BB44DD">
      <w:pPr>
        <w:rPr>
          <w:b/>
          <w:bCs/>
        </w:rPr>
      </w:pPr>
    </w:p>
    <w:p w14:paraId="753259C2" w14:textId="6BE31A55" w:rsidR="00572A45" w:rsidRDefault="00572A45" w:rsidP="00BB44DD">
      <w:pPr>
        <w:rPr>
          <w:b/>
          <w:bCs/>
        </w:rPr>
      </w:pPr>
      <w:r>
        <w:rPr>
          <w:b/>
          <w:bCs/>
        </w:rPr>
        <w:lastRenderedPageBreak/>
        <w:t>ANEXO 1</w:t>
      </w:r>
    </w:p>
    <w:tbl>
      <w:tblPr>
        <w:tblStyle w:val="Tabelacomgrade"/>
        <w:tblW w:w="8647" w:type="dxa"/>
        <w:tblInd w:w="-5" w:type="dxa"/>
        <w:tblLook w:val="04A0" w:firstRow="1" w:lastRow="0" w:firstColumn="1" w:lastColumn="0" w:noHBand="0" w:noVBand="1"/>
      </w:tblPr>
      <w:tblGrid>
        <w:gridCol w:w="8647"/>
      </w:tblGrid>
      <w:tr w:rsidR="00D25825" w:rsidRPr="006E6BAD" w14:paraId="1D7D7640" w14:textId="77777777" w:rsidTr="00D25825">
        <w:tc>
          <w:tcPr>
            <w:tcW w:w="8647" w:type="dxa"/>
            <w:shd w:val="clear" w:color="auto" w:fill="3B3B98"/>
          </w:tcPr>
          <w:p w14:paraId="3937672A" w14:textId="77777777" w:rsidR="00D25825" w:rsidRPr="00B50007" w:rsidRDefault="00D25825" w:rsidP="009B47D4">
            <w:pPr>
              <w:rPr>
                <w:b/>
                <w:bCs/>
              </w:rPr>
            </w:pPr>
            <w:bookmarkStart w:id="0" w:name="_Hlk204182429"/>
            <w:r w:rsidRPr="0047448C">
              <w:rPr>
                <w:b/>
                <w:bCs/>
                <w:color w:val="FFFFFF" w:themeColor="background1"/>
              </w:rPr>
              <w:t>FUNDOS ADMINISTRADOS/GERIDOS PELA INSTITUIÇÃO PARA FUTURA DECISÃO DE INVESTIMENTOS:</w:t>
            </w:r>
          </w:p>
        </w:tc>
      </w:tr>
      <w:bookmarkEnd w:id="0"/>
    </w:tbl>
    <w:p w14:paraId="286DD678" w14:textId="77777777" w:rsidR="00D25825" w:rsidRDefault="00D25825" w:rsidP="00BB44DD">
      <w:pPr>
        <w:rPr>
          <w:b/>
          <w:bCs/>
        </w:rPr>
      </w:pPr>
    </w:p>
    <w:tbl>
      <w:tblPr>
        <w:tblStyle w:val="Tabelacomgrade"/>
        <w:tblW w:w="8626" w:type="dxa"/>
        <w:tblLook w:val="04A0" w:firstRow="1" w:lastRow="0" w:firstColumn="1" w:lastColumn="0" w:noHBand="0" w:noVBand="1"/>
      </w:tblPr>
      <w:tblGrid>
        <w:gridCol w:w="6081"/>
        <w:gridCol w:w="2545"/>
      </w:tblGrid>
      <w:tr w:rsidR="00572A45" w14:paraId="706B4CE4" w14:textId="77777777" w:rsidTr="00572A45">
        <w:tc>
          <w:tcPr>
            <w:tcW w:w="6081" w:type="dxa"/>
          </w:tcPr>
          <w:p w14:paraId="5E68B9CE" w14:textId="77777777" w:rsidR="00572A45" w:rsidRDefault="00572A45" w:rsidP="009B47D4">
            <w:pPr>
              <w:rPr>
                <w:b/>
                <w:bCs/>
              </w:rPr>
            </w:pPr>
            <w:r>
              <w:rPr>
                <w:b/>
                <w:bCs/>
                <w:color w:val="3B3B98"/>
              </w:rPr>
              <w:t>Fundo</w:t>
            </w:r>
          </w:p>
        </w:tc>
        <w:tc>
          <w:tcPr>
            <w:tcW w:w="2545" w:type="dxa"/>
          </w:tcPr>
          <w:p w14:paraId="72ACF621" w14:textId="77777777" w:rsidR="00572A45" w:rsidRDefault="00572A45" w:rsidP="009B47D4">
            <w:pPr>
              <w:rPr>
                <w:b/>
                <w:bCs/>
              </w:rPr>
            </w:pPr>
            <w:r>
              <w:rPr>
                <w:b/>
                <w:bCs/>
                <w:color w:val="3B3B98"/>
              </w:rPr>
              <w:t>CNPJ</w:t>
            </w:r>
          </w:p>
        </w:tc>
      </w:tr>
      <w:tr w:rsidR="00572A45" w:rsidRPr="00572A45" w14:paraId="6E976C7B" w14:textId="77777777" w:rsidTr="00572A45">
        <w:trPr>
          <w:trHeight w:val="312"/>
        </w:trPr>
        <w:tc>
          <w:tcPr>
            <w:tcW w:w="6081" w:type="dxa"/>
            <w:noWrap/>
            <w:hideMark/>
          </w:tcPr>
          <w:p w14:paraId="0533D10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INSTITUTIONAL ACTIVE FIX IB - MULTIMERCADO FI</w:t>
            </w:r>
          </w:p>
        </w:tc>
        <w:tc>
          <w:tcPr>
            <w:tcW w:w="2545" w:type="dxa"/>
            <w:noWrap/>
            <w:hideMark/>
          </w:tcPr>
          <w:p w14:paraId="2FE7E70B"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04.764.174/0001-81</w:t>
            </w:r>
          </w:p>
        </w:tc>
      </w:tr>
      <w:tr w:rsidR="00572A45" w:rsidRPr="00572A45" w14:paraId="298A663E" w14:textId="77777777" w:rsidTr="00572A45">
        <w:trPr>
          <w:trHeight w:val="312"/>
        </w:trPr>
        <w:tc>
          <w:tcPr>
            <w:tcW w:w="6081" w:type="dxa"/>
            <w:noWrap/>
            <w:hideMark/>
          </w:tcPr>
          <w:p w14:paraId="4229A292"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ASGARD INSTITUCIONAL FIC AÇÕES</w:t>
            </w:r>
          </w:p>
        </w:tc>
        <w:tc>
          <w:tcPr>
            <w:tcW w:w="2545" w:type="dxa"/>
            <w:noWrap/>
            <w:hideMark/>
          </w:tcPr>
          <w:p w14:paraId="524E867E"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35.495.250/0001-24</w:t>
            </w:r>
          </w:p>
        </w:tc>
      </w:tr>
      <w:tr w:rsidR="00572A45" w:rsidRPr="00572A45" w14:paraId="1C60DA8B" w14:textId="77777777" w:rsidTr="00572A45">
        <w:trPr>
          <w:trHeight w:val="312"/>
        </w:trPr>
        <w:tc>
          <w:tcPr>
            <w:tcW w:w="6081" w:type="dxa"/>
            <w:noWrap/>
            <w:hideMark/>
          </w:tcPr>
          <w:p w14:paraId="3D812387"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ASSET NTN-B 2024 RF FI</w:t>
            </w:r>
          </w:p>
        </w:tc>
        <w:tc>
          <w:tcPr>
            <w:tcW w:w="2545" w:type="dxa"/>
            <w:noWrap/>
            <w:hideMark/>
          </w:tcPr>
          <w:p w14:paraId="1E3CC511"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50.236.636/0001-05</w:t>
            </w:r>
          </w:p>
        </w:tc>
      </w:tr>
      <w:tr w:rsidR="00572A45" w:rsidRPr="00572A45" w14:paraId="081221A1" w14:textId="77777777" w:rsidTr="00572A45">
        <w:trPr>
          <w:trHeight w:val="312"/>
        </w:trPr>
        <w:tc>
          <w:tcPr>
            <w:tcW w:w="6081" w:type="dxa"/>
            <w:noWrap/>
            <w:hideMark/>
          </w:tcPr>
          <w:p w14:paraId="4AACD745"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ASSET NTN-B 2025 FIF RENDA FIXA - RESP LIMITADA</w:t>
            </w:r>
          </w:p>
        </w:tc>
        <w:tc>
          <w:tcPr>
            <w:tcW w:w="2545" w:type="dxa"/>
            <w:noWrap/>
            <w:hideMark/>
          </w:tcPr>
          <w:p w14:paraId="63CB4490"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55.363.896/0001-65</w:t>
            </w:r>
          </w:p>
        </w:tc>
      </w:tr>
      <w:tr w:rsidR="00572A45" w:rsidRPr="00572A45" w14:paraId="0C452CF2" w14:textId="77777777" w:rsidTr="00572A45">
        <w:trPr>
          <w:trHeight w:val="312"/>
        </w:trPr>
        <w:tc>
          <w:tcPr>
            <w:tcW w:w="6081" w:type="dxa"/>
            <w:noWrap/>
            <w:hideMark/>
          </w:tcPr>
          <w:p w14:paraId="3AA0E4B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DIVIDENDOS FI AÇÕES</w:t>
            </w:r>
          </w:p>
        </w:tc>
        <w:tc>
          <w:tcPr>
            <w:tcW w:w="2545" w:type="dxa"/>
            <w:noWrap/>
            <w:hideMark/>
          </w:tcPr>
          <w:p w14:paraId="49744343"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02.887.290/0001-62</w:t>
            </w:r>
          </w:p>
        </w:tc>
      </w:tr>
      <w:tr w:rsidR="00572A45" w:rsidRPr="00572A45" w14:paraId="2609CCFA" w14:textId="77777777" w:rsidTr="00572A45">
        <w:trPr>
          <w:trHeight w:val="312"/>
        </w:trPr>
        <w:tc>
          <w:tcPr>
            <w:tcW w:w="6081" w:type="dxa"/>
            <w:noWrap/>
            <w:hideMark/>
          </w:tcPr>
          <w:p w14:paraId="54D9FDF4"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DUNAMIS FIC AÇÕES</w:t>
            </w:r>
          </w:p>
        </w:tc>
        <w:tc>
          <w:tcPr>
            <w:tcW w:w="2545" w:type="dxa"/>
            <w:noWrap/>
            <w:hideMark/>
          </w:tcPr>
          <w:p w14:paraId="49F062C4"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24.571.992/0001-75</w:t>
            </w:r>
          </w:p>
        </w:tc>
      </w:tr>
      <w:tr w:rsidR="00572A45" w:rsidRPr="00572A45" w14:paraId="2C2A9264" w14:textId="77777777" w:rsidTr="00572A45">
        <w:trPr>
          <w:trHeight w:val="312"/>
        </w:trPr>
        <w:tc>
          <w:tcPr>
            <w:tcW w:w="6081" w:type="dxa"/>
            <w:noWrap/>
            <w:hideMark/>
          </w:tcPr>
          <w:p w14:paraId="61094924"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DUNAMIS INSTITUCIONAL FIC AÇÕES</w:t>
            </w:r>
          </w:p>
        </w:tc>
        <w:tc>
          <w:tcPr>
            <w:tcW w:w="2545" w:type="dxa"/>
            <w:noWrap/>
            <w:hideMark/>
          </w:tcPr>
          <w:p w14:paraId="3C47DE5E"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36.347.815/0001-99</w:t>
            </w:r>
          </w:p>
        </w:tc>
      </w:tr>
      <w:tr w:rsidR="00572A45" w:rsidRPr="00572A45" w14:paraId="5567C7E2" w14:textId="77777777" w:rsidTr="00572A45">
        <w:trPr>
          <w:trHeight w:val="312"/>
        </w:trPr>
        <w:tc>
          <w:tcPr>
            <w:tcW w:w="6081" w:type="dxa"/>
            <w:noWrap/>
            <w:hideMark/>
          </w:tcPr>
          <w:p w14:paraId="783EE2C9"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FIC AÇÕES BDR NÍVEL I</w:t>
            </w:r>
          </w:p>
        </w:tc>
        <w:tc>
          <w:tcPr>
            <w:tcW w:w="2545" w:type="dxa"/>
            <w:noWrap/>
            <w:hideMark/>
          </w:tcPr>
          <w:p w14:paraId="1F8F3EC5"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20.147.389/0001-00</w:t>
            </w:r>
          </w:p>
        </w:tc>
      </w:tr>
      <w:tr w:rsidR="00572A45" w:rsidRPr="00572A45" w14:paraId="0DB286BF" w14:textId="77777777" w:rsidTr="00572A45">
        <w:trPr>
          <w:trHeight w:val="312"/>
        </w:trPr>
        <w:tc>
          <w:tcPr>
            <w:tcW w:w="6081" w:type="dxa"/>
            <w:noWrap/>
            <w:hideMark/>
          </w:tcPr>
          <w:p w14:paraId="096C0B69"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FIC AÇÕES BDR NÍVEL I</w:t>
            </w:r>
          </w:p>
        </w:tc>
        <w:tc>
          <w:tcPr>
            <w:tcW w:w="2545" w:type="dxa"/>
            <w:noWrap/>
            <w:hideMark/>
          </w:tcPr>
          <w:p w14:paraId="10FE7A9D"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37.306.507/0001-88</w:t>
            </w:r>
          </w:p>
        </w:tc>
      </w:tr>
      <w:tr w:rsidR="00572A45" w:rsidRPr="00572A45" w14:paraId="0E75328D" w14:textId="77777777" w:rsidTr="00572A45">
        <w:trPr>
          <w:trHeight w:val="312"/>
        </w:trPr>
        <w:tc>
          <w:tcPr>
            <w:tcW w:w="6081" w:type="dxa"/>
            <w:noWrap/>
            <w:hideMark/>
          </w:tcPr>
          <w:p w14:paraId="14E7F939"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FOF RPI AÇÕES IBOVESPA ATIVO FIC</w:t>
            </w:r>
          </w:p>
        </w:tc>
        <w:tc>
          <w:tcPr>
            <w:tcW w:w="2545" w:type="dxa"/>
            <w:noWrap/>
            <w:hideMark/>
          </w:tcPr>
          <w:p w14:paraId="2250BD26"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08.817.414/0001-10</w:t>
            </w:r>
          </w:p>
        </w:tc>
      </w:tr>
      <w:tr w:rsidR="00572A45" w:rsidRPr="00572A45" w14:paraId="733E6524" w14:textId="77777777" w:rsidTr="00572A45">
        <w:trPr>
          <w:trHeight w:val="312"/>
        </w:trPr>
        <w:tc>
          <w:tcPr>
            <w:tcW w:w="6081" w:type="dxa"/>
            <w:noWrap/>
            <w:hideMark/>
          </w:tcPr>
          <w:p w14:paraId="4120F33C"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HIGH GRADE FIC RENDA FIXA CRÉDITO PRIVADO</w:t>
            </w:r>
          </w:p>
        </w:tc>
        <w:tc>
          <w:tcPr>
            <w:tcW w:w="2545" w:type="dxa"/>
            <w:noWrap/>
            <w:hideMark/>
          </w:tcPr>
          <w:p w14:paraId="28201E7D"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09.093.883/0001-04</w:t>
            </w:r>
          </w:p>
        </w:tc>
      </w:tr>
      <w:tr w:rsidR="00572A45" w:rsidRPr="00572A45" w14:paraId="2F8217E8" w14:textId="77777777" w:rsidTr="00572A45">
        <w:trPr>
          <w:trHeight w:val="312"/>
        </w:trPr>
        <w:tc>
          <w:tcPr>
            <w:tcW w:w="6081" w:type="dxa"/>
            <w:noWrap/>
            <w:hideMark/>
          </w:tcPr>
          <w:p w14:paraId="3BBB1E13"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ITAU HIGH GRADE RF CP FI</w:t>
            </w:r>
          </w:p>
        </w:tc>
        <w:tc>
          <w:tcPr>
            <w:tcW w:w="2545" w:type="dxa"/>
            <w:noWrap/>
            <w:hideMark/>
          </w:tcPr>
          <w:p w14:paraId="147D8C75"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07.096.435/0001-20</w:t>
            </w:r>
          </w:p>
        </w:tc>
      </w:tr>
      <w:tr w:rsidR="00572A45" w:rsidRPr="00572A45" w14:paraId="6B087B4C" w14:textId="77777777" w:rsidTr="00572A45">
        <w:trPr>
          <w:trHeight w:val="312"/>
        </w:trPr>
        <w:tc>
          <w:tcPr>
            <w:tcW w:w="6081" w:type="dxa"/>
            <w:noWrap/>
            <w:hideMark/>
          </w:tcPr>
          <w:p w14:paraId="2CDBE9FC"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IDKA 2 IPCA FIC RENDA FIXA</w:t>
            </w:r>
          </w:p>
        </w:tc>
        <w:tc>
          <w:tcPr>
            <w:tcW w:w="2545" w:type="dxa"/>
            <w:noWrap/>
            <w:hideMark/>
          </w:tcPr>
          <w:p w14:paraId="0BAC4610"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32.922.086/0001-04</w:t>
            </w:r>
          </w:p>
        </w:tc>
      </w:tr>
      <w:tr w:rsidR="00572A45" w:rsidRPr="00572A45" w14:paraId="015B4F59" w14:textId="77777777" w:rsidTr="00572A45">
        <w:trPr>
          <w:trHeight w:val="312"/>
        </w:trPr>
        <w:tc>
          <w:tcPr>
            <w:tcW w:w="6081" w:type="dxa"/>
            <w:noWrap/>
            <w:hideMark/>
          </w:tcPr>
          <w:p w14:paraId="3F6F083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IMA-B 5+ FIC RENDA FIXA</w:t>
            </w:r>
          </w:p>
        </w:tc>
        <w:tc>
          <w:tcPr>
            <w:tcW w:w="2545" w:type="dxa"/>
            <w:noWrap/>
            <w:hideMark/>
          </w:tcPr>
          <w:p w14:paraId="219C399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14.437.684/0001-06</w:t>
            </w:r>
          </w:p>
        </w:tc>
      </w:tr>
      <w:tr w:rsidR="00572A45" w:rsidRPr="00572A45" w14:paraId="6F4FFFFF" w14:textId="77777777" w:rsidTr="00572A45">
        <w:trPr>
          <w:trHeight w:val="312"/>
        </w:trPr>
        <w:tc>
          <w:tcPr>
            <w:tcW w:w="6081" w:type="dxa"/>
            <w:noWrap/>
            <w:hideMark/>
          </w:tcPr>
          <w:p w14:paraId="26FFC0DB"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IMA-B ATIVO FIC RENDA FIXA</w:t>
            </w:r>
          </w:p>
        </w:tc>
        <w:tc>
          <w:tcPr>
            <w:tcW w:w="2545" w:type="dxa"/>
            <w:noWrap/>
            <w:hideMark/>
          </w:tcPr>
          <w:p w14:paraId="3C965BE4"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05.073.656/0001-58</w:t>
            </w:r>
          </w:p>
        </w:tc>
      </w:tr>
      <w:tr w:rsidR="00572A45" w:rsidRPr="00572A45" w14:paraId="6174ED79" w14:textId="77777777" w:rsidTr="00572A45">
        <w:trPr>
          <w:trHeight w:val="312"/>
        </w:trPr>
        <w:tc>
          <w:tcPr>
            <w:tcW w:w="6081" w:type="dxa"/>
            <w:noWrap/>
            <w:hideMark/>
          </w:tcPr>
          <w:p w14:paraId="6B1CCAC7"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INFLATION EQUITY OPPORTUNITIES AÇÕES FIC FI</w:t>
            </w:r>
          </w:p>
        </w:tc>
        <w:tc>
          <w:tcPr>
            <w:tcW w:w="2545" w:type="dxa"/>
            <w:noWrap/>
            <w:hideMark/>
          </w:tcPr>
          <w:p w14:paraId="4A9C18EC"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42.814.825/0001-90</w:t>
            </w:r>
          </w:p>
        </w:tc>
      </w:tr>
      <w:tr w:rsidR="00572A45" w:rsidRPr="00572A45" w14:paraId="1670FBCC" w14:textId="77777777" w:rsidTr="00572A45">
        <w:trPr>
          <w:trHeight w:val="312"/>
        </w:trPr>
        <w:tc>
          <w:tcPr>
            <w:tcW w:w="6081" w:type="dxa"/>
            <w:noWrap/>
            <w:hideMark/>
          </w:tcPr>
          <w:p w14:paraId="5DC72FB2"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INSTITUCIONAIS LEGEND FIC RENDA FIXA LP</w:t>
            </w:r>
          </w:p>
        </w:tc>
        <w:tc>
          <w:tcPr>
            <w:tcW w:w="2545" w:type="dxa"/>
            <w:noWrap/>
            <w:hideMark/>
          </w:tcPr>
          <w:p w14:paraId="3D7D995B"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29.241.799/0001-90</w:t>
            </w:r>
          </w:p>
        </w:tc>
      </w:tr>
      <w:tr w:rsidR="00572A45" w:rsidRPr="00572A45" w14:paraId="57FFD946" w14:textId="77777777" w:rsidTr="00572A45">
        <w:trPr>
          <w:trHeight w:val="312"/>
        </w:trPr>
        <w:tc>
          <w:tcPr>
            <w:tcW w:w="6081" w:type="dxa"/>
            <w:noWrap/>
            <w:hideMark/>
          </w:tcPr>
          <w:p w14:paraId="07787C62"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ALOCAÇÃO DINÂMICA FIC RENDA FIXA</w:t>
            </w:r>
          </w:p>
        </w:tc>
        <w:tc>
          <w:tcPr>
            <w:tcW w:w="2545" w:type="dxa"/>
            <w:noWrap/>
            <w:hideMark/>
          </w:tcPr>
          <w:p w14:paraId="344862B7"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21.838.150/0001-49</w:t>
            </w:r>
          </w:p>
        </w:tc>
      </w:tr>
      <w:tr w:rsidR="00572A45" w:rsidRPr="00572A45" w14:paraId="7AFD3A23" w14:textId="77777777" w:rsidTr="00572A45">
        <w:trPr>
          <w:trHeight w:val="312"/>
        </w:trPr>
        <w:tc>
          <w:tcPr>
            <w:tcW w:w="6081" w:type="dxa"/>
            <w:noWrap/>
            <w:hideMark/>
          </w:tcPr>
          <w:p w14:paraId="0D3F479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ALOCAÇÃO DINÂMICA II FIC RENDA ...</w:t>
            </w:r>
          </w:p>
        </w:tc>
        <w:tc>
          <w:tcPr>
            <w:tcW w:w="2545" w:type="dxa"/>
            <w:noWrap/>
            <w:hideMark/>
          </w:tcPr>
          <w:p w14:paraId="4FAB5589"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25.306.703/0001-73</w:t>
            </w:r>
          </w:p>
        </w:tc>
      </w:tr>
      <w:tr w:rsidR="00572A45" w:rsidRPr="00572A45" w14:paraId="5B10E19B" w14:textId="77777777" w:rsidTr="00572A45">
        <w:trPr>
          <w:trHeight w:val="312"/>
        </w:trPr>
        <w:tc>
          <w:tcPr>
            <w:tcW w:w="6081" w:type="dxa"/>
            <w:noWrap/>
            <w:hideMark/>
          </w:tcPr>
          <w:p w14:paraId="5FAC5AF5"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FI RF REF DI</w:t>
            </w:r>
          </w:p>
        </w:tc>
        <w:tc>
          <w:tcPr>
            <w:tcW w:w="2545" w:type="dxa"/>
            <w:noWrap/>
            <w:hideMark/>
          </w:tcPr>
          <w:p w14:paraId="722A47C9"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00.832.435/0001-00</w:t>
            </w:r>
          </w:p>
        </w:tc>
      </w:tr>
      <w:tr w:rsidR="00572A45" w:rsidRPr="00572A45" w14:paraId="12314F66" w14:textId="77777777" w:rsidTr="00572A45">
        <w:trPr>
          <w:trHeight w:val="312"/>
        </w:trPr>
        <w:tc>
          <w:tcPr>
            <w:tcW w:w="6081" w:type="dxa"/>
            <w:noWrap/>
            <w:hideMark/>
          </w:tcPr>
          <w:p w14:paraId="31ABCD41"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FUND OF FUNDS GENESIS FIC AÇÕES</w:t>
            </w:r>
          </w:p>
        </w:tc>
        <w:tc>
          <w:tcPr>
            <w:tcW w:w="2545" w:type="dxa"/>
            <w:noWrap/>
            <w:hideMark/>
          </w:tcPr>
          <w:p w14:paraId="26EDF734"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32.665.845/0001-92</w:t>
            </w:r>
          </w:p>
        </w:tc>
      </w:tr>
      <w:tr w:rsidR="00572A45" w:rsidRPr="00572A45" w14:paraId="2012E60D" w14:textId="77777777" w:rsidTr="00572A45">
        <w:trPr>
          <w:trHeight w:val="312"/>
        </w:trPr>
        <w:tc>
          <w:tcPr>
            <w:tcW w:w="6081" w:type="dxa"/>
            <w:noWrap/>
            <w:hideMark/>
          </w:tcPr>
          <w:p w14:paraId="08BFB6CD"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GLOBAL DINÂMICO FIC RENDA FIXA LP</w:t>
            </w:r>
          </w:p>
        </w:tc>
        <w:tc>
          <w:tcPr>
            <w:tcW w:w="2545" w:type="dxa"/>
            <w:noWrap/>
            <w:hideMark/>
          </w:tcPr>
          <w:p w14:paraId="3DD49989"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32.972.942/0001-28</w:t>
            </w:r>
          </w:p>
        </w:tc>
      </w:tr>
      <w:tr w:rsidR="00572A45" w:rsidRPr="00572A45" w14:paraId="00E8AFD7" w14:textId="77777777" w:rsidTr="00572A45">
        <w:trPr>
          <w:trHeight w:val="312"/>
        </w:trPr>
        <w:tc>
          <w:tcPr>
            <w:tcW w:w="6081" w:type="dxa"/>
            <w:noWrap/>
            <w:hideMark/>
          </w:tcPr>
          <w:p w14:paraId="10104CEE"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IMA-B5 FIC RENDA FIXA</w:t>
            </w:r>
          </w:p>
        </w:tc>
        <w:tc>
          <w:tcPr>
            <w:tcW w:w="2545" w:type="dxa"/>
            <w:noWrap/>
            <w:hideMark/>
          </w:tcPr>
          <w:p w14:paraId="5C63EF85"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09.093.819/0001-15</w:t>
            </w:r>
          </w:p>
        </w:tc>
      </w:tr>
      <w:tr w:rsidR="00572A45" w:rsidRPr="00572A45" w14:paraId="642E06F5" w14:textId="77777777" w:rsidTr="00572A45">
        <w:trPr>
          <w:trHeight w:val="312"/>
        </w:trPr>
        <w:tc>
          <w:tcPr>
            <w:tcW w:w="6081" w:type="dxa"/>
            <w:noWrap/>
            <w:hideMark/>
          </w:tcPr>
          <w:p w14:paraId="79AE7B82"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IMA-B FIC RENDA FIXA</w:t>
            </w:r>
          </w:p>
        </w:tc>
        <w:tc>
          <w:tcPr>
            <w:tcW w:w="2545" w:type="dxa"/>
            <w:noWrap/>
            <w:hideMark/>
          </w:tcPr>
          <w:p w14:paraId="35C5111B"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10.474.513/0001-98</w:t>
            </w:r>
          </w:p>
        </w:tc>
      </w:tr>
      <w:tr w:rsidR="00572A45" w:rsidRPr="00572A45" w14:paraId="6DF66935" w14:textId="77777777" w:rsidTr="00572A45">
        <w:trPr>
          <w:trHeight w:val="312"/>
        </w:trPr>
        <w:tc>
          <w:tcPr>
            <w:tcW w:w="6081" w:type="dxa"/>
            <w:noWrap/>
            <w:hideMark/>
          </w:tcPr>
          <w:p w14:paraId="54CDD027"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IRF-M FIC RENDA FIXA</w:t>
            </w:r>
          </w:p>
        </w:tc>
        <w:tc>
          <w:tcPr>
            <w:tcW w:w="2545" w:type="dxa"/>
            <w:noWrap/>
            <w:hideMark/>
          </w:tcPr>
          <w:p w14:paraId="76B73843"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10.396.381/0001-23</w:t>
            </w:r>
          </w:p>
        </w:tc>
      </w:tr>
      <w:tr w:rsidR="00572A45" w:rsidRPr="00572A45" w14:paraId="5B15823B" w14:textId="77777777" w:rsidTr="00572A45">
        <w:trPr>
          <w:trHeight w:val="312"/>
        </w:trPr>
        <w:tc>
          <w:tcPr>
            <w:tcW w:w="6081" w:type="dxa"/>
            <w:noWrap/>
            <w:hideMark/>
          </w:tcPr>
          <w:p w14:paraId="212F14A9"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JUROS E MOEDAS FIC MULTIMERCADO</w:t>
            </w:r>
          </w:p>
        </w:tc>
        <w:tc>
          <w:tcPr>
            <w:tcW w:w="2545" w:type="dxa"/>
            <w:noWrap/>
            <w:hideMark/>
          </w:tcPr>
          <w:p w14:paraId="26385B5B"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00.973.117/0001-51</w:t>
            </w:r>
          </w:p>
        </w:tc>
      </w:tr>
      <w:tr w:rsidR="00572A45" w:rsidRPr="00572A45" w14:paraId="60023CEF" w14:textId="77777777" w:rsidTr="00572A45">
        <w:trPr>
          <w:trHeight w:val="312"/>
        </w:trPr>
        <w:tc>
          <w:tcPr>
            <w:tcW w:w="6081" w:type="dxa"/>
            <w:noWrap/>
            <w:hideMark/>
          </w:tcPr>
          <w:p w14:paraId="6331F8E8"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ITAU INSTITUCIONAL OPTIMUS RENDA FIXA LONGO PRAZO FICFI</w:t>
            </w:r>
          </w:p>
        </w:tc>
        <w:tc>
          <w:tcPr>
            <w:tcW w:w="2545" w:type="dxa"/>
            <w:noWrap/>
            <w:hideMark/>
          </w:tcPr>
          <w:p w14:paraId="0F26D691"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40.635.061/0001-40</w:t>
            </w:r>
          </w:p>
        </w:tc>
      </w:tr>
      <w:tr w:rsidR="00572A45" w:rsidRPr="00572A45" w14:paraId="03A1BDC9" w14:textId="77777777" w:rsidTr="00572A45">
        <w:trPr>
          <w:trHeight w:val="312"/>
        </w:trPr>
        <w:tc>
          <w:tcPr>
            <w:tcW w:w="6081" w:type="dxa"/>
            <w:noWrap/>
            <w:hideMark/>
          </w:tcPr>
          <w:p w14:paraId="50E888D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PHOENIX FIC AÇÕES</w:t>
            </w:r>
          </w:p>
        </w:tc>
        <w:tc>
          <w:tcPr>
            <w:tcW w:w="2545" w:type="dxa"/>
            <w:noWrap/>
            <w:hideMark/>
          </w:tcPr>
          <w:p w14:paraId="03D7AA02"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23.731.629/0001-07</w:t>
            </w:r>
          </w:p>
        </w:tc>
      </w:tr>
      <w:tr w:rsidR="00572A45" w:rsidRPr="00572A45" w14:paraId="06542ACE" w14:textId="77777777" w:rsidTr="00572A45">
        <w:trPr>
          <w:trHeight w:val="312"/>
        </w:trPr>
        <w:tc>
          <w:tcPr>
            <w:tcW w:w="6081" w:type="dxa"/>
            <w:noWrap/>
            <w:hideMark/>
          </w:tcPr>
          <w:p w14:paraId="6EFA7E31"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INSTITUCIONAL RENDA FIXA IRF-M 1 FI</w:t>
            </w:r>
          </w:p>
        </w:tc>
        <w:tc>
          <w:tcPr>
            <w:tcW w:w="2545" w:type="dxa"/>
            <w:noWrap/>
            <w:hideMark/>
          </w:tcPr>
          <w:p w14:paraId="1AC80428"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08.703.063/0001-16</w:t>
            </w:r>
          </w:p>
        </w:tc>
      </w:tr>
      <w:tr w:rsidR="00572A45" w:rsidRPr="00572A45" w14:paraId="723D969D" w14:textId="77777777" w:rsidTr="00572A45">
        <w:trPr>
          <w:trHeight w:val="312"/>
        </w:trPr>
        <w:tc>
          <w:tcPr>
            <w:tcW w:w="6081" w:type="dxa"/>
            <w:noWrap/>
            <w:hideMark/>
          </w:tcPr>
          <w:p w14:paraId="65FAE41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INST SMART AÇÕES BRASIL 50 FIC FIA</w:t>
            </w:r>
          </w:p>
        </w:tc>
        <w:tc>
          <w:tcPr>
            <w:tcW w:w="2545" w:type="dxa"/>
            <w:noWrap/>
            <w:hideMark/>
          </w:tcPr>
          <w:p w14:paraId="650E5772"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48.107.091/0001-95</w:t>
            </w:r>
          </w:p>
        </w:tc>
      </w:tr>
      <w:tr w:rsidR="00572A45" w:rsidRPr="00572A45" w14:paraId="45294832" w14:textId="77777777" w:rsidTr="00572A45">
        <w:trPr>
          <w:trHeight w:val="312"/>
        </w:trPr>
        <w:tc>
          <w:tcPr>
            <w:tcW w:w="6081" w:type="dxa"/>
            <w:noWrap/>
            <w:hideMark/>
          </w:tcPr>
          <w:p w14:paraId="3FC7FBF2"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MOMENTO 30 FIC AÇÕES</w:t>
            </w:r>
          </w:p>
        </w:tc>
        <w:tc>
          <w:tcPr>
            <w:tcW w:w="2545" w:type="dxa"/>
            <w:noWrap/>
            <w:hideMark/>
          </w:tcPr>
          <w:p w14:paraId="761956F1"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16.718.302/0001-30</w:t>
            </w:r>
          </w:p>
        </w:tc>
      </w:tr>
      <w:tr w:rsidR="00572A45" w:rsidRPr="00572A45" w14:paraId="2B7CDD3B" w14:textId="77777777" w:rsidTr="00572A45">
        <w:trPr>
          <w:trHeight w:val="312"/>
        </w:trPr>
        <w:tc>
          <w:tcPr>
            <w:tcW w:w="6081" w:type="dxa"/>
            <w:noWrap/>
            <w:hideMark/>
          </w:tcPr>
          <w:p w14:paraId="5BC38EB0"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MOMENTO 30 II FIC AÇÕES</w:t>
            </w:r>
          </w:p>
        </w:tc>
        <w:tc>
          <w:tcPr>
            <w:tcW w:w="2545" w:type="dxa"/>
            <w:noWrap/>
            <w:hideMark/>
          </w:tcPr>
          <w:p w14:paraId="7845DEA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42.318.981/0001-60</w:t>
            </w:r>
          </w:p>
        </w:tc>
      </w:tr>
      <w:tr w:rsidR="00572A45" w:rsidRPr="00572A45" w14:paraId="0199D57D" w14:textId="77777777" w:rsidTr="00572A45">
        <w:trPr>
          <w:trHeight w:val="312"/>
        </w:trPr>
        <w:tc>
          <w:tcPr>
            <w:tcW w:w="6081" w:type="dxa"/>
            <w:noWrap/>
            <w:hideMark/>
          </w:tcPr>
          <w:p w14:paraId="703FEB6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OLIMPO FIC FIA</w:t>
            </w:r>
          </w:p>
        </w:tc>
        <w:tc>
          <w:tcPr>
            <w:tcW w:w="2545" w:type="dxa"/>
            <w:noWrap/>
            <w:hideMark/>
          </w:tcPr>
          <w:p w14:paraId="5F37FAB5"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32.246.546/0001-13</w:t>
            </w:r>
          </w:p>
        </w:tc>
      </w:tr>
      <w:tr w:rsidR="00572A45" w:rsidRPr="00572A45" w14:paraId="26DE5BD5" w14:textId="77777777" w:rsidTr="00572A45">
        <w:trPr>
          <w:trHeight w:val="312"/>
        </w:trPr>
        <w:tc>
          <w:tcPr>
            <w:tcW w:w="6081" w:type="dxa"/>
            <w:noWrap/>
            <w:hideMark/>
          </w:tcPr>
          <w:p w14:paraId="059FC6D3"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PP FIC RENDA FIXA CURTO PRAZO</w:t>
            </w:r>
          </w:p>
        </w:tc>
        <w:tc>
          <w:tcPr>
            <w:tcW w:w="2545" w:type="dxa"/>
            <w:noWrap/>
            <w:hideMark/>
          </w:tcPr>
          <w:p w14:paraId="5D9B38C9"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03.187.084/0001-02</w:t>
            </w:r>
          </w:p>
        </w:tc>
      </w:tr>
      <w:tr w:rsidR="00572A45" w:rsidRPr="00572A45" w14:paraId="1A71D1AF" w14:textId="77777777" w:rsidTr="00572A45">
        <w:trPr>
          <w:trHeight w:val="312"/>
        </w:trPr>
        <w:tc>
          <w:tcPr>
            <w:tcW w:w="6081" w:type="dxa"/>
            <w:noWrap/>
            <w:hideMark/>
          </w:tcPr>
          <w:p w14:paraId="3B75C8AE"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PRIVATE S&amp;P500® BRL FIC MULTIMERCADO</w:t>
            </w:r>
          </w:p>
        </w:tc>
        <w:tc>
          <w:tcPr>
            <w:tcW w:w="2545" w:type="dxa"/>
            <w:noWrap/>
            <w:hideMark/>
          </w:tcPr>
          <w:p w14:paraId="30A08DEF"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26.269.692/0001-61</w:t>
            </w:r>
          </w:p>
        </w:tc>
      </w:tr>
      <w:tr w:rsidR="00572A45" w:rsidRPr="00572A45" w14:paraId="59D64D41" w14:textId="77777777" w:rsidTr="00572A45">
        <w:trPr>
          <w:trHeight w:val="312"/>
        </w:trPr>
        <w:tc>
          <w:tcPr>
            <w:tcW w:w="6081" w:type="dxa"/>
            <w:noWrap/>
            <w:hideMark/>
          </w:tcPr>
          <w:p w14:paraId="1B85E178"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SMALL CAP VALUATION FIC AÇÕES</w:t>
            </w:r>
          </w:p>
        </w:tc>
        <w:tc>
          <w:tcPr>
            <w:tcW w:w="2545" w:type="dxa"/>
            <w:noWrap/>
            <w:hideMark/>
          </w:tcPr>
          <w:p w14:paraId="7A278997"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01.063.897/0001-65</w:t>
            </w:r>
          </w:p>
        </w:tc>
      </w:tr>
      <w:tr w:rsidR="00572A45" w:rsidRPr="00572A45" w14:paraId="25CA3EC8" w14:textId="77777777" w:rsidTr="00572A45">
        <w:trPr>
          <w:trHeight w:val="312"/>
        </w:trPr>
        <w:tc>
          <w:tcPr>
            <w:tcW w:w="6081" w:type="dxa"/>
            <w:noWrap/>
            <w:hideMark/>
          </w:tcPr>
          <w:p w14:paraId="0D5EA9EE"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SOBERANO RF SIMPLES FICFI</w:t>
            </w:r>
          </w:p>
        </w:tc>
        <w:tc>
          <w:tcPr>
            <w:tcW w:w="2545" w:type="dxa"/>
            <w:noWrap/>
            <w:hideMark/>
          </w:tcPr>
          <w:p w14:paraId="03A9D7D8"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06.175.696/0001-73</w:t>
            </w:r>
          </w:p>
        </w:tc>
      </w:tr>
      <w:tr w:rsidR="00572A45" w:rsidRPr="00572A45" w14:paraId="7AA5BC95" w14:textId="77777777" w:rsidTr="00572A45">
        <w:trPr>
          <w:trHeight w:val="312"/>
        </w:trPr>
        <w:tc>
          <w:tcPr>
            <w:tcW w:w="6081" w:type="dxa"/>
            <w:noWrap/>
            <w:hideMark/>
          </w:tcPr>
          <w:p w14:paraId="5AD732CE"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ITAÚ VISION INSTITUCIONAL FIC MULTIMERCADO</w:t>
            </w:r>
          </w:p>
        </w:tc>
        <w:tc>
          <w:tcPr>
            <w:tcW w:w="2545" w:type="dxa"/>
            <w:noWrap/>
            <w:hideMark/>
          </w:tcPr>
          <w:p w14:paraId="0CC4F2DD"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32.254.420/0001-90</w:t>
            </w:r>
          </w:p>
        </w:tc>
      </w:tr>
      <w:tr w:rsidR="00572A45" w:rsidRPr="00572A45" w14:paraId="401D9083" w14:textId="77777777" w:rsidTr="00572A45">
        <w:trPr>
          <w:trHeight w:val="312"/>
        </w:trPr>
        <w:tc>
          <w:tcPr>
            <w:tcW w:w="6081" w:type="dxa"/>
            <w:noWrap/>
            <w:hideMark/>
          </w:tcPr>
          <w:p w14:paraId="43409817"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lastRenderedPageBreak/>
              <w:t>IT NOW IBOVESPA FUNDO DE ÍNDICE - BOVV11</w:t>
            </w:r>
          </w:p>
        </w:tc>
        <w:tc>
          <w:tcPr>
            <w:tcW w:w="2545" w:type="dxa"/>
            <w:noWrap/>
            <w:hideMark/>
          </w:tcPr>
          <w:p w14:paraId="20177CDB" w14:textId="77777777" w:rsidR="00572A45" w:rsidRPr="00572A45" w:rsidRDefault="00572A45" w:rsidP="00572A45">
            <w:pPr>
              <w:rPr>
                <w:color w:val="404040" w:themeColor="text1" w:themeTint="BF"/>
                <w:sz w:val="20"/>
                <w:szCs w:val="20"/>
              </w:rPr>
            </w:pPr>
            <w:r w:rsidRPr="00572A45">
              <w:rPr>
                <w:color w:val="404040" w:themeColor="text1" w:themeTint="BF"/>
                <w:sz w:val="20"/>
                <w:szCs w:val="20"/>
              </w:rPr>
              <w:t>21.407.758/0001-19</w:t>
            </w:r>
          </w:p>
        </w:tc>
      </w:tr>
    </w:tbl>
    <w:p w14:paraId="076F930B" w14:textId="77777777" w:rsidR="00572A45" w:rsidRPr="00BB44DD" w:rsidRDefault="00572A45" w:rsidP="00BB44DD">
      <w:pPr>
        <w:rPr>
          <w:b/>
          <w:bCs/>
        </w:rPr>
      </w:pPr>
    </w:p>
    <w:sectPr w:rsidR="00572A45" w:rsidRPr="00BB44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9BA"/>
    <w:multiLevelType w:val="multilevel"/>
    <w:tmpl w:val="5E92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8DB1D"/>
    <w:multiLevelType w:val="hybridMultilevel"/>
    <w:tmpl w:val="67E083C2"/>
    <w:lvl w:ilvl="0" w:tplc="0EC60524">
      <w:start w:val="1"/>
      <w:numFmt w:val="decimal"/>
      <w:lvlText w:val="%1."/>
      <w:lvlJc w:val="left"/>
      <w:pPr>
        <w:ind w:left="720" w:hanging="360"/>
      </w:pPr>
    </w:lvl>
    <w:lvl w:ilvl="1" w:tplc="98B01C04">
      <w:start w:val="1"/>
      <w:numFmt w:val="lowerLetter"/>
      <w:lvlText w:val="%2."/>
      <w:lvlJc w:val="left"/>
      <w:pPr>
        <w:ind w:left="1440" w:hanging="360"/>
      </w:pPr>
    </w:lvl>
    <w:lvl w:ilvl="2" w:tplc="2A9C1ABE">
      <w:start w:val="1"/>
      <w:numFmt w:val="lowerRoman"/>
      <w:lvlText w:val="%3."/>
      <w:lvlJc w:val="right"/>
      <w:pPr>
        <w:ind w:left="2160" w:hanging="180"/>
      </w:pPr>
    </w:lvl>
    <w:lvl w:ilvl="3" w:tplc="4DEE03CA">
      <w:start w:val="1"/>
      <w:numFmt w:val="decimal"/>
      <w:lvlText w:val="%4."/>
      <w:lvlJc w:val="left"/>
      <w:pPr>
        <w:ind w:left="2880" w:hanging="360"/>
      </w:pPr>
    </w:lvl>
    <w:lvl w:ilvl="4" w:tplc="DBBAEE5A">
      <w:start w:val="1"/>
      <w:numFmt w:val="lowerLetter"/>
      <w:lvlText w:val="%5."/>
      <w:lvlJc w:val="left"/>
      <w:pPr>
        <w:ind w:left="3600" w:hanging="360"/>
      </w:pPr>
    </w:lvl>
    <w:lvl w:ilvl="5" w:tplc="923801FC">
      <w:start w:val="1"/>
      <w:numFmt w:val="lowerRoman"/>
      <w:lvlText w:val="%6."/>
      <w:lvlJc w:val="right"/>
      <w:pPr>
        <w:ind w:left="4320" w:hanging="180"/>
      </w:pPr>
    </w:lvl>
    <w:lvl w:ilvl="6" w:tplc="9DD8F744">
      <w:start w:val="1"/>
      <w:numFmt w:val="decimal"/>
      <w:lvlText w:val="%7."/>
      <w:lvlJc w:val="left"/>
      <w:pPr>
        <w:ind w:left="5040" w:hanging="360"/>
      </w:pPr>
    </w:lvl>
    <w:lvl w:ilvl="7" w:tplc="A61E3EC2">
      <w:start w:val="1"/>
      <w:numFmt w:val="lowerLetter"/>
      <w:lvlText w:val="%8."/>
      <w:lvlJc w:val="left"/>
      <w:pPr>
        <w:ind w:left="5760" w:hanging="360"/>
      </w:pPr>
    </w:lvl>
    <w:lvl w:ilvl="8" w:tplc="F9B2DE5E">
      <w:start w:val="1"/>
      <w:numFmt w:val="lowerRoman"/>
      <w:lvlText w:val="%9."/>
      <w:lvlJc w:val="right"/>
      <w:pPr>
        <w:ind w:left="6480" w:hanging="180"/>
      </w:pPr>
    </w:lvl>
  </w:abstractNum>
  <w:abstractNum w:abstractNumId="2" w15:restartNumberingAfterBreak="0">
    <w:nsid w:val="57355B7E"/>
    <w:multiLevelType w:val="multilevel"/>
    <w:tmpl w:val="983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A25C3"/>
    <w:multiLevelType w:val="hybridMultilevel"/>
    <w:tmpl w:val="1FBCF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65E6A68"/>
    <w:multiLevelType w:val="hybridMultilevel"/>
    <w:tmpl w:val="08F85D1E"/>
    <w:lvl w:ilvl="0" w:tplc="53A08E0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40282873">
    <w:abstractNumId w:val="0"/>
  </w:num>
  <w:num w:numId="2" w16cid:durableId="136650435">
    <w:abstractNumId w:val="2"/>
  </w:num>
  <w:num w:numId="3" w16cid:durableId="111025234">
    <w:abstractNumId w:val="4"/>
  </w:num>
  <w:num w:numId="4" w16cid:durableId="1228955984">
    <w:abstractNumId w:val="3"/>
  </w:num>
  <w:num w:numId="5" w16cid:durableId="56283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11"/>
    <w:rsid w:val="00021AF0"/>
    <w:rsid w:val="00034827"/>
    <w:rsid w:val="00074CF2"/>
    <w:rsid w:val="000B24D3"/>
    <w:rsid w:val="000C2B8B"/>
    <w:rsid w:val="000E6176"/>
    <w:rsid w:val="000F4A3B"/>
    <w:rsid w:val="00155D8D"/>
    <w:rsid w:val="001A07C0"/>
    <w:rsid w:val="00237256"/>
    <w:rsid w:val="00265F47"/>
    <w:rsid w:val="002937A0"/>
    <w:rsid w:val="002A5E0C"/>
    <w:rsid w:val="002B4DAC"/>
    <w:rsid w:val="002C5B40"/>
    <w:rsid w:val="002F2C11"/>
    <w:rsid w:val="00341BEC"/>
    <w:rsid w:val="003527AD"/>
    <w:rsid w:val="00374AF8"/>
    <w:rsid w:val="003804EF"/>
    <w:rsid w:val="003837CA"/>
    <w:rsid w:val="00385677"/>
    <w:rsid w:val="003A48B1"/>
    <w:rsid w:val="003B303C"/>
    <w:rsid w:val="003B6B9D"/>
    <w:rsid w:val="003C02D6"/>
    <w:rsid w:val="003C1B37"/>
    <w:rsid w:val="003C46B3"/>
    <w:rsid w:val="003D15B4"/>
    <w:rsid w:val="004111B4"/>
    <w:rsid w:val="00472D84"/>
    <w:rsid w:val="0047448C"/>
    <w:rsid w:val="004917E9"/>
    <w:rsid w:val="004D0217"/>
    <w:rsid w:val="004E3710"/>
    <w:rsid w:val="004E5418"/>
    <w:rsid w:val="00500C2A"/>
    <w:rsid w:val="00523C5E"/>
    <w:rsid w:val="00526085"/>
    <w:rsid w:val="00546587"/>
    <w:rsid w:val="00546F78"/>
    <w:rsid w:val="00566B27"/>
    <w:rsid w:val="00572A45"/>
    <w:rsid w:val="00581532"/>
    <w:rsid w:val="005B2315"/>
    <w:rsid w:val="005B658B"/>
    <w:rsid w:val="005C792E"/>
    <w:rsid w:val="005E1713"/>
    <w:rsid w:val="00651692"/>
    <w:rsid w:val="00693400"/>
    <w:rsid w:val="00693C84"/>
    <w:rsid w:val="006956E3"/>
    <w:rsid w:val="006A19E0"/>
    <w:rsid w:val="006A1CD7"/>
    <w:rsid w:val="006E6BAD"/>
    <w:rsid w:val="00713A19"/>
    <w:rsid w:val="00722B97"/>
    <w:rsid w:val="00736C36"/>
    <w:rsid w:val="00737F1A"/>
    <w:rsid w:val="00742783"/>
    <w:rsid w:val="00765243"/>
    <w:rsid w:val="0076728C"/>
    <w:rsid w:val="00773EB8"/>
    <w:rsid w:val="007A12A0"/>
    <w:rsid w:val="007D584C"/>
    <w:rsid w:val="0080731D"/>
    <w:rsid w:val="0082059B"/>
    <w:rsid w:val="008219EF"/>
    <w:rsid w:val="008316CE"/>
    <w:rsid w:val="0085754A"/>
    <w:rsid w:val="0086176E"/>
    <w:rsid w:val="0087002A"/>
    <w:rsid w:val="008732D5"/>
    <w:rsid w:val="00873600"/>
    <w:rsid w:val="00875E72"/>
    <w:rsid w:val="00895EB2"/>
    <w:rsid w:val="008B26BD"/>
    <w:rsid w:val="00945D83"/>
    <w:rsid w:val="00973893"/>
    <w:rsid w:val="00993D82"/>
    <w:rsid w:val="009D4504"/>
    <w:rsid w:val="009E1692"/>
    <w:rsid w:val="00A5115B"/>
    <w:rsid w:val="00A641C5"/>
    <w:rsid w:val="00A76ABA"/>
    <w:rsid w:val="00AA0BB3"/>
    <w:rsid w:val="00AD0FFB"/>
    <w:rsid w:val="00B0309F"/>
    <w:rsid w:val="00B2424B"/>
    <w:rsid w:val="00B34D64"/>
    <w:rsid w:val="00B50007"/>
    <w:rsid w:val="00B60DD4"/>
    <w:rsid w:val="00B86713"/>
    <w:rsid w:val="00B87FA4"/>
    <w:rsid w:val="00BA026F"/>
    <w:rsid w:val="00BB44DD"/>
    <w:rsid w:val="00C23D66"/>
    <w:rsid w:val="00C31260"/>
    <w:rsid w:val="00C54188"/>
    <w:rsid w:val="00CB49EE"/>
    <w:rsid w:val="00CE0756"/>
    <w:rsid w:val="00CE0FD1"/>
    <w:rsid w:val="00CE1A54"/>
    <w:rsid w:val="00CE30BE"/>
    <w:rsid w:val="00D171AE"/>
    <w:rsid w:val="00D2305E"/>
    <w:rsid w:val="00D25825"/>
    <w:rsid w:val="00D375DD"/>
    <w:rsid w:val="00D42AAC"/>
    <w:rsid w:val="00D42F33"/>
    <w:rsid w:val="00D9142B"/>
    <w:rsid w:val="00D95107"/>
    <w:rsid w:val="00DA2B09"/>
    <w:rsid w:val="00E34495"/>
    <w:rsid w:val="00E47311"/>
    <w:rsid w:val="00E5390A"/>
    <w:rsid w:val="00E60EAF"/>
    <w:rsid w:val="00E955CA"/>
    <w:rsid w:val="00EA41D6"/>
    <w:rsid w:val="00ED5712"/>
    <w:rsid w:val="00EF0037"/>
    <w:rsid w:val="00F0421C"/>
    <w:rsid w:val="00F11446"/>
    <w:rsid w:val="00F62B1C"/>
    <w:rsid w:val="00FD3E35"/>
    <w:rsid w:val="00FE048B"/>
    <w:rsid w:val="00FF1BCD"/>
    <w:rsid w:val="00FF1E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49A4"/>
  <w15:chartTrackingRefBased/>
  <w15:docId w15:val="{ED15A6E0-C30F-4EE1-B691-2DF8A9D7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2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F2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3A19"/>
    <w:pPr>
      <w:keepNext/>
      <w:keepLines/>
      <w:spacing w:before="40" w:after="0"/>
      <w:outlineLvl w:val="2"/>
    </w:pPr>
    <w:rPr>
      <w:rFonts w:ascii="Arial" w:eastAsiaTheme="majorEastAsia" w:hAnsi="Arial" w:cstheme="majorBidi"/>
      <w:sz w:val="24"/>
      <w:szCs w:val="24"/>
    </w:rPr>
  </w:style>
  <w:style w:type="paragraph" w:styleId="Ttulo4">
    <w:name w:val="heading 4"/>
    <w:basedOn w:val="Normal"/>
    <w:next w:val="Normal"/>
    <w:link w:val="Ttulo4Char"/>
    <w:uiPriority w:val="9"/>
    <w:semiHidden/>
    <w:unhideWhenUsed/>
    <w:qFormat/>
    <w:rsid w:val="002F2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F2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F2C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2C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2C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2C1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13A19"/>
    <w:rPr>
      <w:rFonts w:ascii="Arial" w:eastAsiaTheme="majorEastAsia" w:hAnsi="Arial" w:cstheme="majorBidi"/>
      <w:sz w:val="24"/>
      <w:szCs w:val="24"/>
    </w:rPr>
  </w:style>
  <w:style w:type="character" w:customStyle="1" w:styleId="Ttulo1Char">
    <w:name w:val="Título 1 Char"/>
    <w:basedOn w:val="Fontepargpadro"/>
    <w:link w:val="Ttulo1"/>
    <w:uiPriority w:val="9"/>
    <w:rsid w:val="002F2C1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F2C11"/>
    <w:rPr>
      <w:rFonts w:asciiTheme="majorHAnsi" w:eastAsiaTheme="majorEastAsia" w:hAnsiTheme="majorHAnsi" w:cstheme="majorBidi"/>
      <w:color w:val="0F4761" w:themeColor="accent1" w:themeShade="BF"/>
      <w:sz w:val="32"/>
      <w:szCs w:val="32"/>
    </w:rPr>
  </w:style>
  <w:style w:type="character" w:customStyle="1" w:styleId="Ttulo4Char">
    <w:name w:val="Título 4 Char"/>
    <w:basedOn w:val="Fontepargpadro"/>
    <w:link w:val="Ttulo4"/>
    <w:uiPriority w:val="9"/>
    <w:semiHidden/>
    <w:rsid w:val="002F2C1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F2C1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F2C1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2C1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2C1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2C11"/>
    <w:rPr>
      <w:rFonts w:eastAsiaTheme="majorEastAsia" w:cstheme="majorBidi"/>
      <w:color w:val="272727" w:themeColor="text1" w:themeTint="D8"/>
    </w:rPr>
  </w:style>
  <w:style w:type="paragraph" w:styleId="Ttulo">
    <w:name w:val="Title"/>
    <w:basedOn w:val="Normal"/>
    <w:next w:val="Normal"/>
    <w:link w:val="TtuloChar"/>
    <w:uiPriority w:val="10"/>
    <w:qFormat/>
    <w:rsid w:val="002F2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2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2C1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2C1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2C11"/>
    <w:pPr>
      <w:spacing w:before="160"/>
      <w:jc w:val="center"/>
    </w:pPr>
    <w:rPr>
      <w:i/>
      <w:iCs/>
      <w:color w:val="404040" w:themeColor="text1" w:themeTint="BF"/>
    </w:rPr>
  </w:style>
  <w:style w:type="character" w:customStyle="1" w:styleId="CitaoChar">
    <w:name w:val="Citação Char"/>
    <w:basedOn w:val="Fontepargpadro"/>
    <w:link w:val="Citao"/>
    <w:uiPriority w:val="29"/>
    <w:rsid w:val="002F2C11"/>
    <w:rPr>
      <w:i/>
      <w:iCs/>
      <w:color w:val="404040" w:themeColor="text1" w:themeTint="BF"/>
    </w:rPr>
  </w:style>
  <w:style w:type="paragraph" w:styleId="PargrafodaLista">
    <w:name w:val="List Paragraph"/>
    <w:basedOn w:val="Normal"/>
    <w:uiPriority w:val="34"/>
    <w:qFormat/>
    <w:rsid w:val="002F2C11"/>
    <w:pPr>
      <w:ind w:left="720"/>
      <w:contextualSpacing/>
    </w:pPr>
  </w:style>
  <w:style w:type="character" w:styleId="nfaseIntensa">
    <w:name w:val="Intense Emphasis"/>
    <w:basedOn w:val="Fontepargpadro"/>
    <w:uiPriority w:val="21"/>
    <w:qFormat/>
    <w:rsid w:val="002F2C11"/>
    <w:rPr>
      <w:i/>
      <w:iCs/>
      <w:color w:val="0F4761" w:themeColor="accent1" w:themeShade="BF"/>
    </w:rPr>
  </w:style>
  <w:style w:type="paragraph" w:styleId="CitaoIntensa">
    <w:name w:val="Intense Quote"/>
    <w:basedOn w:val="Normal"/>
    <w:next w:val="Normal"/>
    <w:link w:val="CitaoIntensaChar"/>
    <w:uiPriority w:val="30"/>
    <w:qFormat/>
    <w:rsid w:val="002F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F2C11"/>
    <w:rPr>
      <w:i/>
      <w:iCs/>
      <w:color w:val="0F4761" w:themeColor="accent1" w:themeShade="BF"/>
    </w:rPr>
  </w:style>
  <w:style w:type="character" w:styleId="RefernciaIntensa">
    <w:name w:val="Intense Reference"/>
    <w:basedOn w:val="Fontepargpadro"/>
    <w:uiPriority w:val="32"/>
    <w:qFormat/>
    <w:rsid w:val="002F2C11"/>
    <w:rPr>
      <w:b/>
      <w:bCs/>
      <w:smallCaps/>
      <w:color w:val="0F4761" w:themeColor="accent1" w:themeShade="BF"/>
      <w:spacing w:val="5"/>
    </w:rPr>
  </w:style>
  <w:style w:type="table" w:styleId="Tabelacomgrade">
    <w:name w:val="Table Grid"/>
    <w:basedOn w:val="Tabelanormal"/>
    <w:uiPriority w:val="39"/>
    <w:rsid w:val="00AA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742">
      <w:bodyDiv w:val="1"/>
      <w:marLeft w:val="0"/>
      <w:marRight w:val="0"/>
      <w:marTop w:val="0"/>
      <w:marBottom w:val="0"/>
      <w:divBdr>
        <w:top w:val="none" w:sz="0" w:space="0" w:color="auto"/>
        <w:left w:val="none" w:sz="0" w:space="0" w:color="auto"/>
        <w:bottom w:val="none" w:sz="0" w:space="0" w:color="auto"/>
        <w:right w:val="none" w:sz="0" w:space="0" w:color="auto"/>
      </w:divBdr>
    </w:div>
    <w:div w:id="12583682">
      <w:bodyDiv w:val="1"/>
      <w:marLeft w:val="0"/>
      <w:marRight w:val="0"/>
      <w:marTop w:val="0"/>
      <w:marBottom w:val="0"/>
      <w:divBdr>
        <w:top w:val="none" w:sz="0" w:space="0" w:color="auto"/>
        <w:left w:val="none" w:sz="0" w:space="0" w:color="auto"/>
        <w:bottom w:val="none" w:sz="0" w:space="0" w:color="auto"/>
        <w:right w:val="none" w:sz="0" w:space="0" w:color="auto"/>
      </w:divBdr>
    </w:div>
    <w:div w:id="235282174">
      <w:bodyDiv w:val="1"/>
      <w:marLeft w:val="0"/>
      <w:marRight w:val="0"/>
      <w:marTop w:val="0"/>
      <w:marBottom w:val="0"/>
      <w:divBdr>
        <w:top w:val="none" w:sz="0" w:space="0" w:color="auto"/>
        <w:left w:val="none" w:sz="0" w:space="0" w:color="auto"/>
        <w:bottom w:val="none" w:sz="0" w:space="0" w:color="auto"/>
        <w:right w:val="none" w:sz="0" w:space="0" w:color="auto"/>
      </w:divBdr>
    </w:div>
    <w:div w:id="241380141">
      <w:bodyDiv w:val="1"/>
      <w:marLeft w:val="0"/>
      <w:marRight w:val="0"/>
      <w:marTop w:val="0"/>
      <w:marBottom w:val="0"/>
      <w:divBdr>
        <w:top w:val="none" w:sz="0" w:space="0" w:color="auto"/>
        <w:left w:val="none" w:sz="0" w:space="0" w:color="auto"/>
        <w:bottom w:val="none" w:sz="0" w:space="0" w:color="auto"/>
        <w:right w:val="none" w:sz="0" w:space="0" w:color="auto"/>
      </w:divBdr>
      <w:divsChild>
        <w:div w:id="394162394">
          <w:marLeft w:val="0"/>
          <w:marRight w:val="0"/>
          <w:marTop w:val="0"/>
          <w:marBottom w:val="0"/>
          <w:divBdr>
            <w:top w:val="none" w:sz="0" w:space="0" w:color="auto"/>
            <w:left w:val="none" w:sz="0" w:space="0" w:color="auto"/>
            <w:bottom w:val="none" w:sz="0" w:space="0" w:color="auto"/>
            <w:right w:val="none" w:sz="0" w:space="0" w:color="auto"/>
          </w:divBdr>
        </w:div>
        <w:div w:id="2086487857">
          <w:marLeft w:val="0"/>
          <w:marRight w:val="0"/>
          <w:marTop w:val="0"/>
          <w:marBottom w:val="0"/>
          <w:divBdr>
            <w:top w:val="none" w:sz="0" w:space="0" w:color="auto"/>
            <w:left w:val="none" w:sz="0" w:space="0" w:color="auto"/>
            <w:bottom w:val="none" w:sz="0" w:space="0" w:color="auto"/>
            <w:right w:val="none" w:sz="0" w:space="0" w:color="auto"/>
          </w:divBdr>
        </w:div>
        <w:div w:id="1056247895">
          <w:marLeft w:val="0"/>
          <w:marRight w:val="0"/>
          <w:marTop w:val="0"/>
          <w:marBottom w:val="0"/>
          <w:divBdr>
            <w:top w:val="none" w:sz="0" w:space="0" w:color="auto"/>
            <w:left w:val="none" w:sz="0" w:space="0" w:color="auto"/>
            <w:bottom w:val="none" w:sz="0" w:space="0" w:color="auto"/>
            <w:right w:val="none" w:sz="0" w:space="0" w:color="auto"/>
          </w:divBdr>
        </w:div>
        <w:div w:id="2036809487">
          <w:marLeft w:val="0"/>
          <w:marRight w:val="0"/>
          <w:marTop w:val="0"/>
          <w:marBottom w:val="0"/>
          <w:divBdr>
            <w:top w:val="none" w:sz="0" w:space="0" w:color="auto"/>
            <w:left w:val="none" w:sz="0" w:space="0" w:color="auto"/>
            <w:bottom w:val="none" w:sz="0" w:space="0" w:color="auto"/>
            <w:right w:val="none" w:sz="0" w:space="0" w:color="auto"/>
          </w:divBdr>
        </w:div>
        <w:div w:id="978730112">
          <w:marLeft w:val="0"/>
          <w:marRight w:val="0"/>
          <w:marTop w:val="0"/>
          <w:marBottom w:val="0"/>
          <w:divBdr>
            <w:top w:val="none" w:sz="0" w:space="0" w:color="auto"/>
            <w:left w:val="none" w:sz="0" w:space="0" w:color="auto"/>
            <w:bottom w:val="none" w:sz="0" w:space="0" w:color="auto"/>
            <w:right w:val="none" w:sz="0" w:space="0" w:color="auto"/>
          </w:divBdr>
        </w:div>
        <w:div w:id="155731223">
          <w:marLeft w:val="0"/>
          <w:marRight w:val="0"/>
          <w:marTop w:val="0"/>
          <w:marBottom w:val="0"/>
          <w:divBdr>
            <w:top w:val="none" w:sz="0" w:space="0" w:color="auto"/>
            <w:left w:val="none" w:sz="0" w:space="0" w:color="auto"/>
            <w:bottom w:val="none" w:sz="0" w:space="0" w:color="auto"/>
            <w:right w:val="none" w:sz="0" w:space="0" w:color="auto"/>
          </w:divBdr>
        </w:div>
        <w:div w:id="834879549">
          <w:marLeft w:val="0"/>
          <w:marRight w:val="0"/>
          <w:marTop w:val="0"/>
          <w:marBottom w:val="0"/>
          <w:divBdr>
            <w:top w:val="none" w:sz="0" w:space="0" w:color="auto"/>
            <w:left w:val="none" w:sz="0" w:space="0" w:color="auto"/>
            <w:bottom w:val="none" w:sz="0" w:space="0" w:color="auto"/>
            <w:right w:val="none" w:sz="0" w:space="0" w:color="auto"/>
          </w:divBdr>
        </w:div>
      </w:divsChild>
    </w:div>
    <w:div w:id="336540517">
      <w:bodyDiv w:val="1"/>
      <w:marLeft w:val="0"/>
      <w:marRight w:val="0"/>
      <w:marTop w:val="0"/>
      <w:marBottom w:val="0"/>
      <w:divBdr>
        <w:top w:val="none" w:sz="0" w:space="0" w:color="auto"/>
        <w:left w:val="none" w:sz="0" w:space="0" w:color="auto"/>
        <w:bottom w:val="none" w:sz="0" w:space="0" w:color="auto"/>
        <w:right w:val="none" w:sz="0" w:space="0" w:color="auto"/>
      </w:divBdr>
    </w:div>
    <w:div w:id="432165198">
      <w:bodyDiv w:val="1"/>
      <w:marLeft w:val="0"/>
      <w:marRight w:val="0"/>
      <w:marTop w:val="0"/>
      <w:marBottom w:val="0"/>
      <w:divBdr>
        <w:top w:val="none" w:sz="0" w:space="0" w:color="auto"/>
        <w:left w:val="none" w:sz="0" w:space="0" w:color="auto"/>
        <w:bottom w:val="none" w:sz="0" w:space="0" w:color="auto"/>
        <w:right w:val="none" w:sz="0" w:space="0" w:color="auto"/>
      </w:divBdr>
      <w:divsChild>
        <w:div w:id="2031028008">
          <w:marLeft w:val="0"/>
          <w:marRight w:val="0"/>
          <w:marTop w:val="0"/>
          <w:marBottom w:val="0"/>
          <w:divBdr>
            <w:top w:val="none" w:sz="0" w:space="0" w:color="auto"/>
            <w:left w:val="none" w:sz="0" w:space="0" w:color="auto"/>
            <w:bottom w:val="none" w:sz="0" w:space="0" w:color="auto"/>
            <w:right w:val="none" w:sz="0" w:space="0" w:color="auto"/>
          </w:divBdr>
        </w:div>
        <w:div w:id="407967107">
          <w:marLeft w:val="0"/>
          <w:marRight w:val="0"/>
          <w:marTop w:val="0"/>
          <w:marBottom w:val="0"/>
          <w:divBdr>
            <w:top w:val="none" w:sz="0" w:space="0" w:color="auto"/>
            <w:left w:val="none" w:sz="0" w:space="0" w:color="auto"/>
            <w:bottom w:val="none" w:sz="0" w:space="0" w:color="auto"/>
            <w:right w:val="none" w:sz="0" w:space="0" w:color="auto"/>
          </w:divBdr>
        </w:div>
        <w:div w:id="1147474432">
          <w:marLeft w:val="0"/>
          <w:marRight w:val="0"/>
          <w:marTop w:val="0"/>
          <w:marBottom w:val="0"/>
          <w:divBdr>
            <w:top w:val="none" w:sz="0" w:space="0" w:color="auto"/>
            <w:left w:val="none" w:sz="0" w:space="0" w:color="auto"/>
            <w:bottom w:val="none" w:sz="0" w:space="0" w:color="auto"/>
            <w:right w:val="none" w:sz="0" w:space="0" w:color="auto"/>
          </w:divBdr>
        </w:div>
        <w:div w:id="312225262">
          <w:marLeft w:val="0"/>
          <w:marRight w:val="0"/>
          <w:marTop w:val="0"/>
          <w:marBottom w:val="0"/>
          <w:divBdr>
            <w:top w:val="none" w:sz="0" w:space="0" w:color="auto"/>
            <w:left w:val="none" w:sz="0" w:space="0" w:color="auto"/>
            <w:bottom w:val="none" w:sz="0" w:space="0" w:color="auto"/>
            <w:right w:val="none" w:sz="0" w:space="0" w:color="auto"/>
          </w:divBdr>
        </w:div>
        <w:div w:id="658465795">
          <w:marLeft w:val="0"/>
          <w:marRight w:val="0"/>
          <w:marTop w:val="0"/>
          <w:marBottom w:val="0"/>
          <w:divBdr>
            <w:top w:val="none" w:sz="0" w:space="0" w:color="auto"/>
            <w:left w:val="none" w:sz="0" w:space="0" w:color="auto"/>
            <w:bottom w:val="none" w:sz="0" w:space="0" w:color="auto"/>
            <w:right w:val="none" w:sz="0" w:space="0" w:color="auto"/>
          </w:divBdr>
        </w:div>
        <w:div w:id="1652522714">
          <w:marLeft w:val="0"/>
          <w:marRight w:val="0"/>
          <w:marTop w:val="0"/>
          <w:marBottom w:val="0"/>
          <w:divBdr>
            <w:top w:val="none" w:sz="0" w:space="0" w:color="auto"/>
            <w:left w:val="none" w:sz="0" w:space="0" w:color="auto"/>
            <w:bottom w:val="none" w:sz="0" w:space="0" w:color="auto"/>
            <w:right w:val="none" w:sz="0" w:space="0" w:color="auto"/>
          </w:divBdr>
        </w:div>
        <w:div w:id="265310331">
          <w:marLeft w:val="0"/>
          <w:marRight w:val="0"/>
          <w:marTop w:val="0"/>
          <w:marBottom w:val="0"/>
          <w:divBdr>
            <w:top w:val="none" w:sz="0" w:space="0" w:color="auto"/>
            <w:left w:val="none" w:sz="0" w:space="0" w:color="auto"/>
            <w:bottom w:val="none" w:sz="0" w:space="0" w:color="auto"/>
            <w:right w:val="none" w:sz="0" w:space="0" w:color="auto"/>
          </w:divBdr>
        </w:div>
      </w:divsChild>
    </w:div>
    <w:div w:id="540938456">
      <w:bodyDiv w:val="1"/>
      <w:marLeft w:val="0"/>
      <w:marRight w:val="0"/>
      <w:marTop w:val="0"/>
      <w:marBottom w:val="0"/>
      <w:divBdr>
        <w:top w:val="none" w:sz="0" w:space="0" w:color="auto"/>
        <w:left w:val="none" w:sz="0" w:space="0" w:color="auto"/>
        <w:bottom w:val="none" w:sz="0" w:space="0" w:color="auto"/>
        <w:right w:val="none" w:sz="0" w:space="0" w:color="auto"/>
      </w:divBdr>
    </w:div>
    <w:div w:id="829559215">
      <w:bodyDiv w:val="1"/>
      <w:marLeft w:val="0"/>
      <w:marRight w:val="0"/>
      <w:marTop w:val="0"/>
      <w:marBottom w:val="0"/>
      <w:divBdr>
        <w:top w:val="none" w:sz="0" w:space="0" w:color="auto"/>
        <w:left w:val="none" w:sz="0" w:space="0" w:color="auto"/>
        <w:bottom w:val="none" w:sz="0" w:space="0" w:color="auto"/>
        <w:right w:val="none" w:sz="0" w:space="0" w:color="auto"/>
      </w:divBdr>
    </w:div>
    <w:div w:id="917403860">
      <w:bodyDiv w:val="1"/>
      <w:marLeft w:val="0"/>
      <w:marRight w:val="0"/>
      <w:marTop w:val="0"/>
      <w:marBottom w:val="0"/>
      <w:divBdr>
        <w:top w:val="none" w:sz="0" w:space="0" w:color="auto"/>
        <w:left w:val="none" w:sz="0" w:space="0" w:color="auto"/>
        <w:bottom w:val="none" w:sz="0" w:space="0" w:color="auto"/>
        <w:right w:val="none" w:sz="0" w:space="0" w:color="auto"/>
      </w:divBdr>
    </w:div>
    <w:div w:id="926572581">
      <w:bodyDiv w:val="1"/>
      <w:marLeft w:val="0"/>
      <w:marRight w:val="0"/>
      <w:marTop w:val="0"/>
      <w:marBottom w:val="0"/>
      <w:divBdr>
        <w:top w:val="none" w:sz="0" w:space="0" w:color="auto"/>
        <w:left w:val="none" w:sz="0" w:space="0" w:color="auto"/>
        <w:bottom w:val="none" w:sz="0" w:space="0" w:color="auto"/>
        <w:right w:val="none" w:sz="0" w:space="0" w:color="auto"/>
      </w:divBdr>
    </w:div>
    <w:div w:id="961303105">
      <w:bodyDiv w:val="1"/>
      <w:marLeft w:val="0"/>
      <w:marRight w:val="0"/>
      <w:marTop w:val="0"/>
      <w:marBottom w:val="0"/>
      <w:divBdr>
        <w:top w:val="none" w:sz="0" w:space="0" w:color="auto"/>
        <w:left w:val="none" w:sz="0" w:space="0" w:color="auto"/>
        <w:bottom w:val="none" w:sz="0" w:space="0" w:color="auto"/>
        <w:right w:val="none" w:sz="0" w:space="0" w:color="auto"/>
      </w:divBdr>
    </w:div>
    <w:div w:id="1077938677">
      <w:bodyDiv w:val="1"/>
      <w:marLeft w:val="0"/>
      <w:marRight w:val="0"/>
      <w:marTop w:val="0"/>
      <w:marBottom w:val="0"/>
      <w:divBdr>
        <w:top w:val="none" w:sz="0" w:space="0" w:color="auto"/>
        <w:left w:val="none" w:sz="0" w:space="0" w:color="auto"/>
        <w:bottom w:val="none" w:sz="0" w:space="0" w:color="auto"/>
        <w:right w:val="none" w:sz="0" w:space="0" w:color="auto"/>
      </w:divBdr>
    </w:div>
    <w:div w:id="1085766633">
      <w:bodyDiv w:val="1"/>
      <w:marLeft w:val="0"/>
      <w:marRight w:val="0"/>
      <w:marTop w:val="0"/>
      <w:marBottom w:val="0"/>
      <w:divBdr>
        <w:top w:val="none" w:sz="0" w:space="0" w:color="auto"/>
        <w:left w:val="none" w:sz="0" w:space="0" w:color="auto"/>
        <w:bottom w:val="none" w:sz="0" w:space="0" w:color="auto"/>
        <w:right w:val="none" w:sz="0" w:space="0" w:color="auto"/>
      </w:divBdr>
    </w:div>
    <w:div w:id="1106776309">
      <w:bodyDiv w:val="1"/>
      <w:marLeft w:val="0"/>
      <w:marRight w:val="0"/>
      <w:marTop w:val="0"/>
      <w:marBottom w:val="0"/>
      <w:divBdr>
        <w:top w:val="none" w:sz="0" w:space="0" w:color="auto"/>
        <w:left w:val="none" w:sz="0" w:space="0" w:color="auto"/>
        <w:bottom w:val="none" w:sz="0" w:space="0" w:color="auto"/>
        <w:right w:val="none" w:sz="0" w:space="0" w:color="auto"/>
      </w:divBdr>
    </w:div>
    <w:div w:id="1163007387">
      <w:bodyDiv w:val="1"/>
      <w:marLeft w:val="0"/>
      <w:marRight w:val="0"/>
      <w:marTop w:val="0"/>
      <w:marBottom w:val="0"/>
      <w:divBdr>
        <w:top w:val="none" w:sz="0" w:space="0" w:color="auto"/>
        <w:left w:val="none" w:sz="0" w:space="0" w:color="auto"/>
        <w:bottom w:val="none" w:sz="0" w:space="0" w:color="auto"/>
        <w:right w:val="none" w:sz="0" w:space="0" w:color="auto"/>
      </w:divBdr>
    </w:div>
    <w:div w:id="1261331583">
      <w:bodyDiv w:val="1"/>
      <w:marLeft w:val="0"/>
      <w:marRight w:val="0"/>
      <w:marTop w:val="0"/>
      <w:marBottom w:val="0"/>
      <w:divBdr>
        <w:top w:val="none" w:sz="0" w:space="0" w:color="auto"/>
        <w:left w:val="none" w:sz="0" w:space="0" w:color="auto"/>
        <w:bottom w:val="none" w:sz="0" w:space="0" w:color="auto"/>
        <w:right w:val="none" w:sz="0" w:space="0" w:color="auto"/>
      </w:divBdr>
    </w:div>
    <w:div w:id="1503932136">
      <w:bodyDiv w:val="1"/>
      <w:marLeft w:val="0"/>
      <w:marRight w:val="0"/>
      <w:marTop w:val="0"/>
      <w:marBottom w:val="0"/>
      <w:divBdr>
        <w:top w:val="none" w:sz="0" w:space="0" w:color="auto"/>
        <w:left w:val="none" w:sz="0" w:space="0" w:color="auto"/>
        <w:bottom w:val="none" w:sz="0" w:space="0" w:color="auto"/>
        <w:right w:val="none" w:sz="0" w:space="0" w:color="auto"/>
      </w:divBdr>
    </w:div>
    <w:div w:id="1604075597">
      <w:bodyDiv w:val="1"/>
      <w:marLeft w:val="0"/>
      <w:marRight w:val="0"/>
      <w:marTop w:val="0"/>
      <w:marBottom w:val="0"/>
      <w:divBdr>
        <w:top w:val="none" w:sz="0" w:space="0" w:color="auto"/>
        <w:left w:val="none" w:sz="0" w:space="0" w:color="auto"/>
        <w:bottom w:val="none" w:sz="0" w:space="0" w:color="auto"/>
        <w:right w:val="none" w:sz="0" w:space="0" w:color="auto"/>
      </w:divBdr>
    </w:div>
    <w:div w:id="1852260542">
      <w:bodyDiv w:val="1"/>
      <w:marLeft w:val="0"/>
      <w:marRight w:val="0"/>
      <w:marTop w:val="0"/>
      <w:marBottom w:val="0"/>
      <w:divBdr>
        <w:top w:val="none" w:sz="0" w:space="0" w:color="auto"/>
        <w:left w:val="none" w:sz="0" w:space="0" w:color="auto"/>
        <w:bottom w:val="none" w:sz="0" w:space="0" w:color="auto"/>
        <w:right w:val="none" w:sz="0" w:space="0" w:color="auto"/>
      </w:divBdr>
    </w:div>
    <w:div w:id="1889802939">
      <w:bodyDiv w:val="1"/>
      <w:marLeft w:val="0"/>
      <w:marRight w:val="0"/>
      <w:marTop w:val="0"/>
      <w:marBottom w:val="0"/>
      <w:divBdr>
        <w:top w:val="none" w:sz="0" w:space="0" w:color="auto"/>
        <w:left w:val="none" w:sz="0" w:space="0" w:color="auto"/>
        <w:bottom w:val="none" w:sz="0" w:space="0" w:color="auto"/>
        <w:right w:val="none" w:sz="0" w:space="0" w:color="auto"/>
      </w:divBdr>
    </w:div>
    <w:div w:id="2033651058">
      <w:bodyDiv w:val="1"/>
      <w:marLeft w:val="0"/>
      <w:marRight w:val="0"/>
      <w:marTop w:val="0"/>
      <w:marBottom w:val="0"/>
      <w:divBdr>
        <w:top w:val="none" w:sz="0" w:space="0" w:color="auto"/>
        <w:left w:val="none" w:sz="0" w:space="0" w:color="auto"/>
        <w:bottom w:val="none" w:sz="0" w:space="0" w:color="auto"/>
        <w:right w:val="none" w:sz="0" w:space="0" w:color="auto"/>
      </w:divBdr>
    </w:div>
    <w:div w:id="209813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ed6347-2866-4686-b5b1-c7df6d3cd541" xsi:nil="true"/>
    <lcf76f155ced4ddcb4097134ff3c332f xmlns="e591e4b8-d87e-46f2-b65d-674af47c8d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032A78465D21943B20E6B7E93116FD5" ma:contentTypeVersion="18" ma:contentTypeDescription="Crie um novo documento." ma:contentTypeScope="" ma:versionID="1c60d0b4c2de4f8e23b1e0feb6450c5a">
  <xsd:schema xmlns:xsd="http://www.w3.org/2001/XMLSchema" xmlns:xs="http://www.w3.org/2001/XMLSchema" xmlns:p="http://schemas.microsoft.com/office/2006/metadata/properties" xmlns:ns2="e591e4b8-d87e-46f2-b65d-674af47c8d4e" xmlns:ns3="54ed6347-2866-4686-b5b1-c7df6d3cd541" targetNamespace="http://schemas.microsoft.com/office/2006/metadata/properties" ma:root="true" ma:fieldsID="2bb4bf2deba5303fde076e99b1441275" ns2:_="" ns3:_="">
    <xsd:import namespace="e591e4b8-d87e-46f2-b65d-674af47c8d4e"/>
    <xsd:import namespace="54ed6347-2866-4686-b5b1-c7df6d3cd5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4b8-d87e-46f2-b65d-674af47c8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efba4ee3-10d2-4154-bd15-9737ba1bb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d6347-2866-4686-b5b1-c7df6d3cd541"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c54531cb-074b-4b10-9c47-7c0dff069ec7}" ma:internalName="TaxCatchAll" ma:showField="CatchAllData" ma:web="54ed6347-2866-4686-b5b1-c7df6d3cd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5B484-50EF-457E-BF60-3E1F820C1BDF}">
  <ds:schemaRefs>
    <ds:schemaRef ds:uri="http://schemas.microsoft.com/sharepoint/v3/contenttype/forms"/>
  </ds:schemaRefs>
</ds:datastoreItem>
</file>

<file path=customXml/itemProps2.xml><?xml version="1.0" encoding="utf-8"?>
<ds:datastoreItem xmlns:ds="http://schemas.openxmlformats.org/officeDocument/2006/customXml" ds:itemID="{A10B41E2-4D75-4899-A638-C21D36E7B52F}">
  <ds:schemaRefs>
    <ds:schemaRef ds:uri="http://schemas.microsoft.com/office/2006/metadata/properties"/>
    <ds:schemaRef ds:uri="http://schemas.microsoft.com/office/infopath/2007/PartnerControls"/>
    <ds:schemaRef ds:uri="54ed6347-2866-4686-b5b1-c7df6d3cd541"/>
    <ds:schemaRef ds:uri="e591e4b8-d87e-46f2-b65d-674af47c8d4e"/>
  </ds:schemaRefs>
</ds:datastoreItem>
</file>

<file path=customXml/itemProps3.xml><?xml version="1.0" encoding="utf-8"?>
<ds:datastoreItem xmlns:ds="http://schemas.openxmlformats.org/officeDocument/2006/customXml" ds:itemID="{541BB38E-7309-4A8D-9CC8-1B44ECF53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4b8-d87e-46f2-b65d-674af47c8d4e"/>
    <ds:schemaRef ds:uri="54ed6347-2866-4686-b5b1-c7df6d3c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3913</Words>
  <Characters>21134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Leite</dc:creator>
  <cp:keywords/>
  <dc:description/>
  <cp:lastModifiedBy>Andressa Andressa Roberta Araújo Garcia</cp:lastModifiedBy>
  <cp:revision>4</cp:revision>
  <cp:lastPrinted>2025-08-05T18:05:00Z</cp:lastPrinted>
  <dcterms:created xsi:type="dcterms:W3CDTF">2025-08-05T18:18:00Z</dcterms:created>
  <dcterms:modified xsi:type="dcterms:W3CDTF">2025-10-22T13:04:00Z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0x0101008032A78465D21943B20E6B7E93116FD5</vt:lpwstr>
  </property>
  <property fmtid="{D5CDD505-2E9C-101B-9397-08002B2CF9AE}" pid="3" name="MediaServiceImageTags">
    <vt:lpwstr/>
  </property>
</Properties>
</file>